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344EB" w14:textId="1B1CCFFF" w:rsidR="2F6BE4A6" w:rsidRDefault="2F6BE4A6" w:rsidP="6DE80D34">
      <w:r>
        <w:rPr>
          <w:noProof/>
        </w:rPr>
        <w:drawing>
          <wp:inline distT="0" distB="0" distL="0" distR="0" wp14:anchorId="1F5893E3" wp14:editId="2532FD96">
            <wp:extent cx="2405422" cy="800103"/>
            <wp:effectExtent l="0" t="0" r="0" b="0"/>
            <wp:docPr id="201781119" name="Picture 201781119" descr="National Disability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81119" name="Picture 201781119" descr="National Disability Services logo"/>
                    <pic:cNvPicPr/>
                  </pic:nvPicPr>
                  <pic:blipFill>
                    <a:blip r:embed="rId11">
                      <a:extLst>
                        <a:ext uri="{28A0092B-C50C-407E-A947-70E740481C1C}">
                          <a14:useLocalDpi xmlns:a14="http://schemas.microsoft.com/office/drawing/2010/main" val="0"/>
                        </a:ext>
                      </a:extLst>
                    </a:blip>
                    <a:srcRect l="5970" t="10638"/>
                    <a:stretch>
                      <a:fillRect/>
                    </a:stretch>
                  </pic:blipFill>
                  <pic:spPr>
                    <a:xfrm>
                      <a:off x="0" y="0"/>
                      <a:ext cx="2405422" cy="800103"/>
                    </a:xfrm>
                    <a:prstGeom prst="rect">
                      <a:avLst/>
                    </a:prstGeom>
                  </pic:spPr>
                </pic:pic>
              </a:graphicData>
            </a:graphic>
          </wp:inline>
        </w:drawing>
      </w:r>
    </w:p>
    <w:p w14:paraId="1056CC15" w14:textId="44434FF9" w:rsidR="066DD4CA" w:rsidRPr="008F48EE" w:rsidRDefault="066DD4CA" w:rsidP="008F48EE">
      <w:pPr>
        <w:pStyle w:val="Title"/>
      </w:pPr>
      <w:r w:rsidRPr="008F48EE">
        <w:t>National Disability Services</w:t>
      </w:r>
      <w:r w:rsidR="0E0A060F" w:rsidRPr="008F48EE">
        <w:t xml:space="preserve"> Submission:</w:t>
      </w:r>
      <w:r w:rsidRPr="008F48EE">
        <w:br/>
      </w:r>
      <w:r w:rsidR="00BA47E6" w:rsidRPr="008F48EE">
        <w:t>Response to the Department of Social Services’ “Establishing a Disability Employment Centre of Excellence” Options Paper</w:t>
      </w:r>
    </w:p>
    <w:p w14:paraId="4FEE1358" w14:textId="6CA348E8" w:rsidR="6A2AD77D" w:rsidRDefault="6A2AD77D">
      <w:r>
        <w:br w:type="page"/>
      </w:r>
    </w:p>
    <w:p w14:paraId="43F41F9C" w14:textId="5F2815F2" w:rsidR="531581A4" w:rsidRDefault="531581A4" w:rsidP="006A5FE3">
      <w:pPr>
        <w:pStyle w:val="Heading1"/>
      </w:pPr>
      <w:bookmarkStart w:id="0" w:name="_Toc148389213"/>
      <w:r w:rsidRPr="6DE80D34">
        <w:lastRenderedPageBreak/>
        <w:t>About National Disability Services</w:t>
      </w:r>
      <w:bookmarkEnd w:id="0"/>
    </w:p>
    <w:p w14:paraId="549D4095" w14:textId="423D902E" w:rsidR="6DE80D34" w:rsidRDefault="531581A4" w:rsidP="00B93EF5">
      <w:pPr>
        <w:spacing w:after="120"/>
      </w:pPr>
      <w:r>
        <w:t>National Disability Services (NDS) is Australia's peak body for non-government disability service organisations, representing more than 1</w:t>
      </w:r>
      <w:r w:rsidR="150E56CF">
        <w:t>0</w:t>
      </w:r>
      <w:r>
        <w:t>00 non-government service providers. Collectively, NDS members operate several thousand services for Australians with all types of disability. NDS provides information and networking opportunities to its members and policy advice to State, Territory and Commonwealth governments. We have a diverse and vibrant membership, comprised of small, medium and larger service providers, supporting thousands of people with disability. Our members collectively provide a full range of disability services, from supported independent living and specialist disability accommodation, respite and therapy, to community access and employment. NDS is committed to improving the disability service system to ensure it better supports people with disability, their families and carers, and contributes to building a more inclusive community.</w:t>
      </w:r>
    </w:p>
    <w:p w14:paraId="30A1D85B" w14:textId="7ACF8C58" w:rsidR="6DE80D34" w:rsidRDefault="6DE80D34" w:rsidP="00BA47E6">
      <w:pPr>
        <w:spacing w:before="0"/>
      </w:pPr>
      <w:r>
        <w:br w:type="page"/>
      </w:r>
    </w:p>
    <w:p w14:paraId="611BCFDC" w14:textId="0DA52C5E" w:rsidR="549E4A4C" w:rsidRPr="00147B17" w:rsidRDefault="549E4A4C" w:rsidP="006A5FE3">
      <w:pPr>
        <w:pStyle w:val="Heading1"/>
      </w:pPr>
      <w:bookmarkStart w:id="1" w:name="_Toc148389214"/>
      <w:r w:rsidRPr="00147B17">
        <w:lastRenderedPageBreak/>
        <w:t>Contents</w:t>
      </w:r>
      <w:bookmarkEnd w:id="1"/>
    </w:p>
    <w:sdt>
      <w:sdtPr>
        <w:id w:val="1689998318"/>
        <w:docPartObj>
          <w:docPartGallery w:val="Table of Contents"/>
          <w:docPartUnique/>
        </w:docPartObj>
      </w:sdtPr>
      <w:sdtContent>
        <w:p w14:paraId="3FB11711" w14:textId="6C2F60DF" w:rsidR="00350A0E" w:rsidRDefault="00086DF8" w:rsidP="00B93EF5">
          <w:pPr>
            <w:pStyle w:val="TOC1"/>
            <w:tabs>
              <w:tab w:val="right" w:leader="dot" w:pos="9304"/>
            </w:tabs>
            <w:spacing w:after="120"/>
            <w:rPr>
              <w:rFonts w:asciiTheme="minorHAnsi" w:hAnsiTheme="minorHAnsi"/>
              <w:noProof/>
              <w:kern w:val="2"/>
              <w:sz w:val="22"/>
              <w:szCs w:val="22"/>
              <w:lang w:eastAsia="en-AU"/>
              <w14:ligatures w14:val="standardContextual"/>
            </w:rPr>
          </w:pPr>
          <w:r>
            <w:fldChar w:fldCharType="begin"/>
          </w:r>
          <w:r w:rsidR="100FF847">
            <w:instrText>TOC \o \z \u \h</w:instrText>
          </w:r>
          <w:r>
            <w:fldChar w:fldCharType="separate"/>
          </w:r>
          <w:hyperlink w:anchor="_Toc148389213" w:history="1">
            <w:r w:rsidR="00350A0E" w:rsidRPr="00601676">
              <w:rPr>
                <w:rStyle w:val="Hyperlink"/>
                <w:noProof/>
              </w:rPr>
              <w:t>About National Disability Services</w:t>
            </w:r>
            <w:r w:rsidR="00350A0E">
              <w:rPr>
                <w:noProof/>
                <w:webHidden/>
              </w:rPr>
              <w:tab/>
            </w:r>
            <w:r w:rsidR="00350A0E">
              <w:rPr>
                <w:noProof/>
                <w:webHidden/>
              </w:rPr>
              <w:fldChar w:fldCharType="begin"/>
            </w:r>
            <w:r w:rsidR="00350A0E">
              <w:rPr>
                <w:noProof/>
                <w:webHidden/>
              </w:rPr>
              <w:instrText xml:space="preserve"> PAGEREF _Toc148389213 \h </w:instrText>
            </w:r>
            <w:r w:rsidR="00350A0E">
              <w:rPr>
                <w:noProof/>
                <w:webHidden/>
              </w:rPr>
            </w:r>
            <w:r w:rsidR="00350A0E">
              <w:rPr>
                <w:noProof/>
                <w:webHidden/>
              </w:rPr>
              <w:fldChar w:fldCharType="separate"/>
            </w:r>
            <w:r w:rsidR="00350A0E">
              <w:rPr>
                <w:noProof/>
                <w:webHidden/>
              </w:rPr>
              <w:t>1</w:t>
            </w:r>
            <w:r w:rsidR="00350A0E">
              <w:rPr>
                <w:noProof/>
                <w:webHidden/>
              </w:rPr>
              <w:fldChar w:fldCharType="end"/>
            </w:r>
          </w:hyperlink>
        </w:p>
        <w:p w14:paraId="07CEACA3" w14:textId="7117652E" w:rsidR="00350A0E" w:rsidRDefault="00000000" w:rsidP="00B93EF5">
          <w:pPr>
            <w:pStyle w:val="TOC1"/>
            <w:tabs>
              <w:tab w:val="right" w:leader="dot" w:pos="9304"/>
            </w:tabs>
            <w:spacing w:after="120"/>
            <w:rPr>
              <w:rFonts w:asciiTheme="minorHAnsi" w:hAnsiTheme="minorHAnsi"/>
              <w:noProof/>
              <w:kern w:val="2"/>
              <w:sz w:val="22"/>
              <w:szCs w:val="22"/>
              <w:lang w:eastAsia="en-AU"/>
              <w14:ligatures w14:val="standardContextual"/>
            </w:rPr>
          </w:pPr>
          <w:hyperlink w:anchor="_Toc148389214" w:history="1">
            <w:r w:rsidR="00350A0E" w:rsidRPr="00601676">
              <w:rPr>
                <w:rStyle w:val="Hyperlink"/>
                <w:noProof/>
              </w:rPr>
              <w:t>Contents</w:t>
            </w:r>
            <w:r w:rsidR="00350A0E">
              <w:rPr>
                <w:noProof/>
                <w:webHidden/>
              </w:rPr>
              <w:tab/>
            </w:r>
            <w:r w:rsidR="00350A0E">
              <w:rPr>
                <w:noProof/>
                <w:webHidden/>
              </w:rPr>
              <w:fldChar w:fldCharType="begin"/>
            </w:r>
            <w:r w:rsidR="00350A0E">
              <w:rPr>
                <w:noProof/>
                <w:webHidden/>
              </w:rPr>
              <w:instrText xml:space="preserve"> PAGEREF _Toc148389214 \h </w:instrText>
            </w:r>
            <w:r w:rsidR="00350A0E">
              <w:rPr>
                <w:noProof/>
                <w:webHidden/>
              </w:rPr>
            </w:r>
            <w:r w:rsidR="00350A0E">
              <w:rPr>
                <w:noProof/>
                <w:webHidden/>
              </w:rPr>
              <w:fldChar w:fldCharType="separate"/>
            </w:r>
            <w:r w:rsidR="00350A0E">
              <w:rPr>
                <w:noProof/>
                <w:webHidden/>
              </w:rPr>
              <w:t>3</w:t>
            </w:r>
            <w:r w:rsidR="00350A0E">
              <w:rPr>
                <w:noProof/>
                <w:webHidden/>
              </w:rPr>
              <w:fldChar w:fldCharType="end"/>
            </w:r>
          </w:hyperlink>
        </w:p>
        <w:p w14:paraId="1EC1AB4E" w14:textId="5C41E533" w:rsidR="00350A0E" w:rsidRDefault="00000000" w:rsidP="00B93EF5">
          <w:pPr>
            <w:pStyle w:val="TOC1"/>
            <w:tabs>
              <w:tab w:val="right" w:leader="dot" w:pos="9304"/>
            </w:tabs>
            <w:spacing w:after="120"/>
            <w:rPr>
              <w:rFonts w:asciiTheme="minorHAnsi" w:hAnsiTheme="minorHAnsi"/>
              <w:noProof/>
              <w:kern w:val="2"/>
              <w:sz w:val="22"/>
              <w:szCs w:val="22"/>
              <w:lang w:eastAsia="en-AU"/>
              <w14:ligatures w14:val="standardContextual"/>
            </w:rPr>
          </w:pPr>
          <w:hyperlink w:anchor="_Toc148389215" w:history="1">
            <w:r w:rsidR="00350A0E" w:rsidRPr="00601676">
              <w:rPr>
                <w:rStyle w:val="Hyperlink"/>
                <w:noProof/>
              </w:rPr>
              <w:t xml:space="preserve">1 </w:t>
            </w:r>
            <w:r w:rsidR="00BA47E6">
              <w:rPr>
                <w:rStyle w:val="Hyperlink"/>
                <w:noProof/>
              </w:rPr>
              <w:t>Introduction</w:t>
            </w:r>
            <w:r w:rsidR="00350A0E">
              <w:rPr>
                <w:noProof/>
                <w:webHidden/>
              </w:rPr>
              <w:tab/>
            </w:r>
            <w:r w:rsidR="00350A0E">
              <w:rPr>
                <w:noProof/>
                <w:webHidden/>
              </w:rPr>
              <w:fldChar w:fldCharType="begin"/>
            </w:r>
            <w:r w:rsidR="00350A0E">
              <w:rPr>
                <w:noProof/>
                <w:webHidden/>
              </w:rPr>
              <w:instrText xml:space="preserve"> PAGEREF _Toc148389215 \h </w:instrText>
            </w:r>
            <w:r w:rsidR="00350A0E">
              <w:rPr>
                <w:noProof/>
                <w:webHidden/>
              </w:rPr>
            </w:r>
            <w:r w:rsidR="00350A0E">
              <w:rPr>
                <w:noProof/>
                <w:webHidden/>
              </w:rPr>
              <w:fldChar w:fldCharType="separate"/>
            </w:r>
            <w:r w:rsidR="00350A0E">
              <w:rPr>
                <w:noProof/>
                <w:webHidden/>
              </w:rPr>
              <w:t>3</w:t>
            </w:r>
            <w:r w:rsidR="00350A0E">
              <w:rPr>
                <w:noProof/>
                <w:webHidden/>
              </w:rPr>
              <w:fldChar w:fldCharType="end"/>
            </w:r>
          </w:hyperlink>
        </w:p>
        <w:p w14:paraId="06D58AC2" w14:textId="6FC33BA6" w:rsidR="00350A0E" w:rsidRDefault="00000000" w:rsidP="00B93EF5">
          <w:pPr>
            <w:pStyle w:val="TOC1"/>
            <w:tabs>
              <w:tab w:val="right" w:leader="dot" w:pos="9304"/>
            </w:tabs>
            <w:spacing w:after="120"/>
            <w:rPr>
              <w:rFonts w:asciiTheme="minorHAnsi" w:hAnsiTheme="minorHAnsi"/>
              <w:noProof/>
              <w:kern w:val="2"/>
              <w:sz w:val="22"/>
              <w:szCs w:val="22"/>
              <w:lang w:eastAsia="en-AU"/>
              <w14:ligatures w14:val="standardContextual"/>
            </w:rPr>
          </w:pPr>
          <w:hyperlink w:anchor="_Toc148389216" w:history="1">
            <w:r w:rsidR="00350A0E" w:rsidRPr="00601676">
              <w:rPr>
                <w:rStyle w:val="Hyperlink"/>
                <w:noProof/>
              </w:rPr>
              <w:t xml:space="preserve">2 </w:t>
            </w:r>
            <w:r w:rsidR="00BA47E6" w:rsidRPr="00BA47E6">
              <w:rPr>
                <w:rStyle w:val="Hyperlink"/>
                <w:noProof/>
              </w:rPr>
              <w:t>The reasons for establishing the Centre</w:t>
            </w:r>
            <w:r w:rsidR="00350A0E">
              <w:rPr>
                <w:noProof/>
                <w:webHidden/>
              </w:rPr>
              <w:tab/>
            </w:r>
            <w:r w:rsidR="00350A0E">
              <w:rPr>
                <w:noProof/>
                <w:webHidden/>
              </w:rPr>
              <w:fldChar w:fldCharType="begin"/>
            </w:r>
            <w:r w:rsidR="00350A0E">
              <w:rPr>
                <w:noProof/>
                <w:webHidden/>
              </w:rPr>
              <w:instrText xml:space="preserve"> PAGEREF _Toc148389216 \h </w:instrText>
            </w:r>
            <w:r w:rsidR="00350A0E">
              <w:rPr>
                <w:noProof/>
                <w:webHidden/>
              </w:rPr>
            </w:r>
            <w:r w:rsidR="00350A0E">
              <w:rPr>
                <w:noProof/>
                <w:webHidden/>
              </w:rPr>
              <w:fldChar w:fldCharType="separate"/>
            </w:r>
            <w:r w:rsidR="00350A0E">
              <w:rPr>
                <w:noProof/>
                <w:webHidden/>
              </w:rPr>
              <w:t>3</w:t>
            </w:r>
            <w:r w:rsidR="00350A0E">
              <w:rPr>
                <w:noProof/>
                <w:webHidden/>
              </w:rPr>
              <w:fldChar w:fldCharType="end"/>
            </w:r>
          </w:hyperlink>
        </w:p>
        <w:p w14:paraId="35947F28" w14:textId="1C4D8495" w:rsidR="00350A0E" w:rsidRDefault="00000000" w:rsidP="00B93EF5">
          <w:pPr>
            <w:pStyle w:val="TOC1"/>
            <w:tabs>
              <w:tab w:val="right" w:leader="dot" w:pos="9304"/>
            </w:tabs>
            <w:spacing w:after="120"/>
            <w:rPr>
              <w:rFonts w:asciiTheme="minorHAnsi" w:hAnsiTheme="minorHAnsi"/>
              <w:noProof/>
              <w:kern w:val="2"/>
              <w:sz w:val="22"/>
              <w:szCs w:val="22"/>
              <w:lang w:eastAsia="en-AU"/>
              <w14:ligatures w14:val="standardContextual"/>
            </w:rPr>
          </w:pPr>
          <w:hyperlink w:anchor="_Toc148389219" w:history="1">
            <w:r w:rsidR="00350A0E" w:rsidRPr="00601676">
              <w:rPr>
                <w:rStyle w:val="Hyperlink"/>
                <w:noProof/>
              </w:rPr>
              <w:t xml:space="preserve">3 </w:t>
            </w:r>
            <w:r w:rsidR="000A03A1">
              <w:rPr>
                <w:rStyle w:val="Hyperlink"/>
                <w:noProof/>
              </w:rPr>
              <w:t>Wh</w:t>
            </w:r>
            <w:r w:rsidR="00F57F3C">
              <w:rPr>
                <w:rStyle w:val="Hyperlink"/>
                <w:noProof/>
              </w:rPr>
              <w:t>o could the Centre ass</w:t>
            </w:r>
            <w:r w:rsidR="000A03A1">
              <w:rPr>
                <w:rStyle w:val="Hyperlink"/>
                <w:noProof/>
              </w:rPr>
              <w:t>ist?</w:t>
            </w:r>
            <w:r w:rsidR="00350A0E">
              <w:rPr>
                <w:noProof/>
                <w:webHidden/>
              </w:rPr>
              <w:tab/>
            </w:r>
            <w:r w:rsidR="00350A0E">
              <w:rPr>
                <w:noProof/>
                <w:webHidden/>
              </w:rPr>
              <w:fldChar w:fldCharType="begin"/>
            </w:r>
            <w:r w:rsidR="00350A0E">
              <w:rPr>
                <w:noProof/>
                <w:webHidden/>
              </w:rPr>
              <w:instrText xml:space="preserve"> PAGEREF _Toc148389219 \h </w:instrText>
            </w:r>
            <w:r w:rsidR="00350A0E">
              <w:rPr>
                <w:noProof/>
                <w:webHidden/>
              </w:rPr>
            </w:r>
            <w:r w:rsidR="00350A0E">
              <w:rPr>
                <w:noProof/>
                <w:webHidden/>
              </w:rPr>
              <w:fldChar w:fldCharType="separate"/>
            </w:r>
            <w:r w:rsidR="00350A0E">
              <w:rPr>
                <w:noProof/>
                <w:webHidden/>
              </w:rPr>
              <w:t>4</w:t>
            </w:r>
            <w:r w:rsidR="00350A0E">
              <w:rPr>
                <w:noProof/>
                <w:webHidden/>
              </w:rPr>
              <w:fldChar w:fldCharType="end"/>
            </w:r>
          </w:hyperlink>
        </w:p>
        <w:p w14:paraId="1CDEF7A0" w14:textId="2E4E91CD" w:rsidR="00350A0E" w:rsidRDefault="00000000" w:rsidP="00B93EF5">
          <w:pPr>
            <w:pStyle w:val="TOC1"/>
            <w:tabs>
              <w:tab w:val="right" w:leader="dot" w:pos="9304"/>
            </w:tabs>
            <w:spacing w:after="120"/>
            <w:rPr>
              <w:rFonts w:asciiTheme="minorHAnsi" w:hAnsiTheme="minorHAnsi"/>
              <w:noProof/>
              <w:kern w:val="2"/>
              <w:sz w:val="22"/>
              <w:szCs w:val="22"/>
              <w:lang w:eastAsia="en-AU"/>
              <w14:ligatures w14:val="standardContextual"/>
            </w:rPr>
          </w:pPr>
          <w:hyperlink w:anchor="_Toc148389220" w:history="1">
            <w:r w:rsidR="00350A0E" w:rsidRPr="00601676">
              <w:rPr>
                <w:rStyle w:val="Hyperlink"/>
                <w:noProof/>
              </w:rPr>
              <w:t xml:space="preserve">4 </w:t>
            </w:r>
            <w:r w:rsidR="001D58A4">
              <w:rPr>
                <w:rStyle w:val="Hyperlink"/>
                <w:noProof/>
              </w:rPr>
              <w:t>What models exist?</w:t>
            </w:r>
            <w:r w:rsidR="00350A0E">
              <w:rPr>
                <w:noProof/>
                <w:webHidden/>
              </w:rPr>
              <w:tab/>
            </w:r>
            <w:r w:rsidR="00350A0E">
              <w:rPr>
                <w:noProof/>
                <w:webHidden/>
              </w:rPr>
              <w:fldChar w:fldCharType="begin"/>
            </w:r>
            <w:r w:rsidR="00350A0E">
              <w:rPr>
                <w:noProof/>
                <w:webHidden/>
              </w:rPr>
              <w:instrText xml:space="preserve"> PAGEREF _Toc148389220 \h </w:instrText>
            </w:r>
            <w:r w:rsidR="00350A0E">
              <w:rPr>
                <w:noProof/>
                <w:webHidden/>
              </w:rPr>
            </w:r>
            <w:r w:rsidR="00350A0E">
              <w:rPr>
                <w:noProof/>
                <w:webHidden/>
              </w:rPr>
              <w:fldChar w:fldCharType="separate"/>
            </w:r>
            <w:r w:rsidR="00350A0E">
              <w:rPr>
                <w:noProof/>
                <w:webHidden/>
              </w:rPr>
              <w:t>4</w:t>
            </w:r>
            <w:r w:rsidR="00350A0E">
              <w:rPr>
                <w:noProof/>
                <w:webHidden/>
              </w:rPr>
              <w:fldChar w:fldCharType="end"/>
            </w:r>
          </w:hyperlink>
        </w:p>
        <w:p w14:paraId="30CE83A7" w14:textId="4429D08E" w:rsidR="00350A0E" w:rsidRDefault="007374BF" w:rsidP="00B93EF5">
          <w:pPr>
            <w:pStyle w:val="TOC1"/>
            <w:tabs>
              <w:tab w:val="right" w:leader="dot" w:pos="9304"/>
            </w:tabs>
            <w:spacing w:after="120"/>
            <w:rPr>
              <w:noProof/>
            </w:rPr>
          </w:pPr>
          <w:r>
            <w:t xml:space="preserve">5 </w:t>
          </w:r>
          <w:hyperlink w:anchor="_Toc148389221" w:history="1">
            <w:r w:rsidR="004E24F5">
              <w:rPr>
                <w:rStyle w:val="Hyperlink"/>
                <w:noProof/>
              </w:rPr>
              <w:t>What are the next steps in implementation?</w:t>
            </w:r>
            <w:r w:rsidR="00350A0E">
              <w:rPr>
                <w:noProof/>
                <w:webHidden/>
              </w:rPr>
              <w:tab/>
            </w:r>
            <w:r w:rsidR="00350A0E">
              <w:rPr>
                <w:noProof/>
                <w:webHidden/>
              </w:rPr>
              <w:fldChar w:fldCharType="begin"/>
            </w:r>
            <w:r w:rsidR="00350A0E">
              <w:rPr>
                <w:noProof/>
                <w:webHidden/>
              </w:rPr>
              <w:instrText xml:space="preserve"> PAGEREF _Toc148389221 \h </w:instrText>
            </w:r>
            <w:r w:rsidR="00350A0E">
              <w:rPr>
                <w:noProof/>
                <w:webHidden/>
              </w:rPr>
            </w:r>
            <w:r w:rsidR="00350A0E">
              <w:rPr>
                <w:noProof/>
                <w:webHidden/>
              </w:rPr>
              <w:fldChar w:fldCharType="separate"/>
            </w:r>
            <w:r w:rsidR="00350A0E">
              <w:rPr>
                <w:noProof/>
                <w:webHidden/>
              </w:rPr>
              <w:t>4</w:t>
            </w:r>
            <w:r w:rsidR="00350A0E">
              <w:rPr>
                <w:noProof/>
                <w:webHidden/>
              </w:rPr>
              <w:fldChar w:fldCharType="end"/>
            </w:r>
          </w:hyperlink>
        </w:p>
        <w:p w14:paraId="1AF86650" w14:textId="27D3311D" w:rsidR="007374BF" w:rsidRPr="007374BF" w:rsidRDefault="004E24F5" w:rsidP="007374BF">
          <w:r>
            <w:t xml:space="preserve">6 </w:t>
          </w:r>
          <w:r w:rsidR="007374BF">
            <w:t>Contact</w:t>
          </w:r>
          <w:r w:rsidR="00F02CB6">
            <w:t xml:space="preserve"> ……………………………………………………………………………………….</w:t>
          </w:r>
          <w:r w:rsidR="00041876">
            <w:t xml:space="preserve"> </w:t>
          </w:r>
          <w:r w:rsidR="00F02CB6">
            <w:t>9</w:t>
          </w:r>
        </w:p>
        <w:p w14:paraId="61DE42DF" w14:textId="7D9D5EED" w:rsidR="100FF847" w:rsidRDefault="00086DF8" w:rsidP="00B93EF5">
          <w:pPr>
            <w:pStyle w:val="TOC3"/>
            <w:tabs>
              <w:tab w:val="right" w:leader="dot" w:pos="8295"/>
            </w:tabs>
            <w:spacing w:after="120"/>
            <w:rPr>
              <w:rStyle w:val="Hyperlink"/>
            </w:rPr>
          </w:pPr>
          <w:r>
            <w:fldChar w:fldCharType="end"/>
          </w:r>
        </w:p>
      </w:sdtContent>
    </w:sdt>
    <w:p w14:paraId="633A33DA" w14:textId="20E264DB" w:rsidR="710CD96E" w:rsidRPr="006A5FE3" w:rsidRDefault="00BA47E6" w:rsidP="006A5FE3">
      <w:pPr>
        <w:pStyle w:val="Heading1"/>
        <w:numPr>
          <w:ilvl w:val="0"/>
          <w:numId w:val="44"/>
        </w:numPr>
        <w:ind w:left="284"/>
      </w:pPr>
      <w:r w:rsidRPr="006A5FE3">
        <w:t>Introduction</w:t>
      </w:r>
    </w:p>
    <w:p w14:paraId="55340340" w14:textId="3C4D2732" w:rsidR="00BA47E6" w:rsidRPr="006A5FE3" w:rsidRDefault="00BA47E6" w:rsidP="006A5FE3">
      <w:bookmarkStart w:id="2" w:name="_Toc148389216"/>
      <w:r w:rsidRPr="006A5FE3">
        <w:t xml:space="preserve">NDS appreciates the opportunity to provide feedback on the “Establishing a Disability Employment Centre of Excellence” Options Paper. </w:t>
      </w:r>
    </w:p>
    <w:p w14:paraId="476D8697" w14:textId="77777777" w:rsidR="00BA47E6" w:rsidRPr="006A5FE3" w:rsidRDefault="00BA47E6" w:rsidP="006A5FE3">
      <w:r w:rsidRPr="006A5FE3">
        <w:t>NDS agrees with the Options Paper’s description of reasons for the formation of a Disability Employment Centre of Excellence (the Centre). These include:</w:t>
      </w:r>
    </w:p>
    <w:p w14:paraId="4FD12E9D" w14:textId="7E981709" w:rsidR="00BA47E6" w:rsidRPr="006A5FE3" w:rsidRDefault="00BA47E6" w:rsidP="006A5FE3">
      <w:pPr>
        <w:pStyle w:val="ListParagraph"/>
        <w:numPr>
          <w:ilvl w:val="0"/>
          <w:numId w:val="43"/>
        </w:numPr>
      </w:pPr>
      <w:r w:rsidRPr="006A5FE3">
        <w:t>A “one stop shop”</w:t>
      </w:r>
    </w:p>
    <w:p w14:paraId="26F61C1F" w14:textId="2B3ECC4D" w:rsidR="00BA47E6" w:rsidRPr="006A5FE3" w:rsidRDefault="00BA47E6" w:rsidP="006A5FE3">
      <w:pPr>
        <w:pStyle w:val="ListParagraph"/>
        <w:numPr>
          <w:ilvl w:val="0"/>
          <w:numId w:val="43"/>
        </w:numPr>
      </w:pPr>
      <w:r w:rsidRPr="006A5FE3">
        <w:t>Build evidence based practice</w:t>
      </w:r>
    </w:p>
    <w:p w14:paraId="4AA197FE" w14:textId="23306B6F" w:rsidR="00BA47E6" w:rsidRPr="006A5FE3" w:rsidRDefault="00BA47E6" w:rsidP="006A5FE3">
      <w:pPr>
        <w:pStyle w:val="ListParagraph"/>
        <w:numPr>
          <w:ilvl w:val="0"/>
          <w:numId w:val="43"/>
        </w:numPr>
      </w:pPr>
      <w:r w:rsidRPr="006A5FE3">
        <w:t>Build the capacity of employment service providers</w:t>
      </w:r>
    </w:p>
    <w:p w14:paraId="3450D719" w14:textId="1396436A" w:rsidR="00BA47E6" w:rsidRPr="006A5FE3" w:rsidRDefault="00BA47E6" w:rsidP="006A5FE3">
      <w:pPr>
        <w:pStyle w:val="ListParagraph"/>
        <w:numPr>
          <w:ilvl w:val="0"/>
          <w:numId w:val="43"/>
        </w:numPr>
      </w:pPr>
      <w:r w:rsidRPr="006A5FE3">
        <w:t>Have a key quality control function</w:t>
      </w:r>
    </w:p>
    <w:p w14:paraId="1C589C2C" w14:textId="06A4F4EE" w:rsidR="00BA47E6" w:rsidRPr="006A5FE3" w:rsidRDefault="00BA47E6" w:rsidP="006A5FE3">
      <w:pPr>
        <w:pStyle w:val="ListParagraph"/>
        <w:numPr>
          <w:ilvl w:val="0"/>
          <w:numId w:val="43"/>
        </w:numPr>
      </w:pPr>
      <w:r w:rsidRPr="006A5FE3">
        <w:t>Consolidate data</w:t>
      </w:r>
    </w:p>
    <w:p w14:paraId="0E6BFF68" w14:textId="01550384" w:rsidR="00BA47E6" w:rsidRPr="006A5FE3" w:rsidRDefault="00BA47E6" w:rsidP="006A5FE3">
      <w:pPr>
        <w:pStyle w:val="ListParagraph"/>
        <w:numPr>
          <w:ilvl w:val="0"/>
          <w:numId w:val="43"/>
        </w:numPr>
      </w:pPr>
      <w:r w:rsidRPr="006A5FE3">
        <w:t>Provide accessible information and resources</w:t>
      </w:r>
    </w:p>
    <w:p w14:paraId="767DCEEE" w14:textId="35748325" w:rsidR="00BA47E6" w:rsidRPr="006A5FE3" w:rsidRDefault="00BA47E6" w:rsidP="006A5FE3">
      <w:pPr>
        <w:pStyle w:val="ListParagraph"/>
        <w:numPr>
          <w:ilvl w:val="0"/>
          <w:numId w:val="43"/>
        </w:numPr>
      </w:pPr>
      <w:r w:rsidRPr="006A5FE3">
        <w:t>Enhance collaborative competition</w:t>
      </w:r>
    </w:p>
    <w:p w14:paraId="4F62FD4C" w14:textId="47723757" w:rsidR="00BA47E6" w:rsidRPr="006A5FE3" w:rsidRDefault="00BA47E6" w:rsidP="006A5FE3">
      <w:r w:rsidRPr="006A5FE3">
        <w:t xml:space="preserve">NDS continues to be concerned that a lack of comprehensive recent data on disability employment is impeding the development of evidence based policy by governments as well as impeding widespread quality practice in service provision. Addressing these two factors is essential to ensure the Centre can achieve its intended purpose.  </w:t>
      </w:r>
    </w:p>
    <w:p w14:paraId="38E076EC" w14:textId="335E3238" w:rsidR="00BA47E6" w:rsidRPr="006A5FE3" w:rsidRDefault="00BA47E6" w:rsidP="006A5FE3">
      <w:r w:rsidRPr="006A5FE3">
        <w:t xml:space="preserve">It is also important to acknowledge that a Centre will be unable to rectify barriers to employment for people with disability that are the result of less than optimal </w:t>
      </w:r>
      <w:r w:rsidRPr="006A5FE3">
        <w:lastRenderedPageBreak/>
        <w:t xml:space="preserve">government policy settings. NDS will continue to advocate on behalf of its members for the removal and/or remediation of these policy settings.    </w:t>
      </w:r>
    </w:p>
    <w:p w14:paraId="60CF1CD3" w14:textId="2846047C" w:rsidR="00BA47E6" w:rsidRPr="006A5FE3" w:rsidRDefault="00BA47E6" w:rsidP="006A5FE3">
      <w:r w:rsidRPr="006A5FE3">
        <w:t>Our responses to the Options Paper’s various questions are below.</w:t>
      </w:r>
    </w:p>
    <w:bookmarkEnd w:id="2"/>
    <w:p w14:paraId="150E7964" w14:textId="6509C6B1" w:rsidR="710CD96E" w:rsidRPr="00596221" w:rsidRDefault="00BA47E6" w:rsidP="006A5FE3">
      <w:pPr>
        <w:pStyle w:val="Heading1"/>
        <w:numPr>
          <w:ilvl w:val="0"/>
          <w:numId w:val="44"/>
        </w:numPr>
        <w:ind w:left="284"/>
      </w:pPr>
      <w:r w:rsidRPr="00596221">
        <w:t>The reasons for establishing the Centre</w:t>
      </w:r>
    </w:p>
    <w:p w14:paraId="1CFB4988" w14:textId="6F6B646F" w:rsidR="00BA47E6" w:rsidRPr="00BC79AE" w:rsidRDefault="00BA47E6" w:rsidP="00B93EF5">
      <w:pPr>
        <w:spacing w:after="120"/>
        <w:rPr>
          <w:b/>
          <w:bCs/>
        </w:rPr>
      </w:pPr>
      <w:r w:rsidRPr="00BC79AE">
        <w:rPr>
          <w:b/>
          <w:bCs/>
        </w:rPr>
        <w:t>Why do we need a Centre?</w:t>
      </w:r>
    </w:p>
    <w:p w14:paraId="0C883686" w14:textId="42074ED1" w:rsidR="00BA47E6" w:rsidRDefault="00BA47E6" w:rsidP="00B93EF5">
      <w:pPr>
        <w:spacing w:after="120"/>
      </w:pPr>
      <w:r>
        <w:t xml:space="preserve">A Centre is needed to ensure that the entirety of the Disability Employment ecosystem in Australia is identified, not just models of employment services and supports, but the full range of stakeholders. The latter include people with disability, their families and carers, disability advocates, the wider community, government and the corporate sector and providers of an increasingly broad range of employment services and supports.  </w:t>
      </w:r>
    </w:p>
    <w:p w14:paraId="04B83B7E" w14:textId="2D678669" w:rsidR="00BA47E6" w:rsidRDefault="00BA47E6" w:rsidP="00B93EF5">
      <w:pPr>
        <w:spacing w:after="120"/>
      </w:pPr>
      <w:r>
        <w:t xml:space="preserve">It is imperative that these disparate stakeholders have access to timely, quality and relevant information and resources on disability employment from Australia and overseas. </w:t>
      </w:r>
    </w:p>
    <w:p w14:paraId="2ACEF9FC" w14:textId="77777777" w:rsidR="00BA47E6" w:rsidRDefault="00BA47E6" w:rsidP="00B93EF5">
      <w:pPr>
        <w:spacing w:after="120"/>
      </w:pPr>
      <w:r>
        <w:t>The key goals of the centre should be to ensure that the labour force participation and employment rate of people with disability is significantly increased by:</w:t>
      </w:r>
    </w:p>
    <w:p w14:paraId="61590EA3" w14:textId="4130C8FC" w:rsidR="00BA47E6" w:rsidRDefault="00BA47E6" w:rsidP="00B93EF5">
      <w:pPr>
        <w:pStyle w:val="ListParagraph"/>
        <w:numPr>
          <w:ilvl w:val="0"/>
          <w:numId w:val="36"/>
        </w:numPr>
        <w:spacing w:after="120" w:line="360" w:lineRule="auto"/>
      </w:pPr>
      <w:r>
        <w:t>Identifying and assisting in the removal of social, economic and systemic barriers to employment</w:t>
      </w:r>
    </w:p>
    <w:p w14:paraId="3093781B" w14:textId="6C822476" w:rsidR="00BA47E6" w:rsidRDefault="00BA47E6" w:rsidP="00B93EF5">
      <w:pPr>
        <w:pStyle w:val="ListParagraph"/>
        <w:numPr>
          <w:ilvl w:val="0"/>
          <w:numId w:val="36"/>
        </w:numPr>
        <w:spacing w:after="120" w:line="360" w:lineRule="auto"/>
      </w:pPr>
      <w:r>
        <w:t xml:space="preserve">Broader access to sustainable, meaningful employment options that reflect their career aspirations and goals </w:t>
      </w:r>
    </w:p>
    <w:p w14:paraId="79F94564" w14:textId="7C29DE6D" w:rsidR="00BA47E6" w:rsidRDefault="00BA47E6" w:rsidP="00B93EF5">
      <w:pPr>
        <w:pStyle w:val="ListParagraph"/>
        <w:numPr>
          <w:ilvl w:val="0"/>
          <w:numId w:val="36"/>
        </w:numPr>
        <w:spacing w:after="120" w:line="360" w:lineRule="auto"/>
      </w:pPr>
      <w:r>
        <w:t xml:space="preserve">Ensuring </w:t>
      </w:r>
      <w:r w:rsidR="007C5EE8">
        <w:t xml:space="preserve">easy </w:t>
      </w:r>
      <w:r>
        <w:t xml:space="preserve">access to the services and supports they require during their working life     </w:t>
      </w:r>
    </w:p>
    <w:p w14:paraId="64A39D68" w14:textId="7AE39830" w:rsidR="00BA47E6" w:rsidRPr="00BC79AE" w:rsidRDefault="00BA47E6" w:rsidP="00B93EF5">
      <w:pPr>
        <w:spacing w:after="120"/>
        <w:rPr>
          <w:b/>
          <w:bCs/>
        </w:rPr>
      </w:pPr>
      <w:r w:rsidRPr="00BC79AE">
        <w:rPr>
          <w:b/>
          <w:bCs/>
        </w:rPr>
        <w:t>What should be the core functions of the Centre?</w:t>
      </w:r>
    </w:p>
    <w:p w14:paraId="24A4C023" w14:textId="4F269F41" w:rsidR="00BA47E6" w:rsidRDefault="00BA47E6" w:rsidP="00B93EF5">
      <w:pPr>
        <w:spacing w:after="120"/>
      </w:pPr>
      <w:r>
        <w:t xml:space="preserve">NDS agrees that the core functions of the centre should align with the reasons identified above. However, questions remain as to how the centre could have a “key quality control function” without impeding its role as a trusted, objective source of information and inspiration. </w:t>
      </w:r>
    </w:p>
    <w:p w14:paraId="18B8B56C" w14:textId="77D357AE" w:rsidR="00F327F9" w:rsidRDefault="00BA47E6" w:rsidP="00B93EF5">
      <w:pPr>
        <w:spacing w:after="120"/>
      </w:pPr>
      <w:r>
        <w:t xml:space="preserve">Given that there are existing quality control systems (for example, the NSDS audits for DES and the NDIS Practice Standards for NDIS providers), the Centre may have a more logical role providing resources and tools that enable employment providers to </w:t>
      </w:r>
      <w:r>
        <w:lastRenderedPageBreak/>
        <w:t xml:space="preserve">enhance their service and support quality through a process of </w:t>
      </w:r>
      <w:proofErr w:type="spellStart"/>
      <w:r>
        <w:t>self assessment</w:t>
      </w:r>
      <w:proofErr w:type="spellEnd"/>
      <w:r>
        <w:t xml:space="preserve">, which could then be measured against various benchmarks established from comprehensive sector wide data sources.  </w:t>
      </w:r>
    </w:p>
    <w:p w14:paraId="71003862" w14:textId="3B05D82B" w:rsidR="00E90221" w:rsidRDefault="00F327F9" w:rsidP="00B93EF5">
      <w:pPr>
        <w:spacing w:after="120"/>
      </w:pPr>
      <w:r>
        <w:t>Otherwise, NDS members have identified</w:t>
      </w:r>
      <w:r w:rsidR="00E90221">
        <w:t xml:space="preserve"> some core functions of the Centre as below:</w:t>
      </w:r>
    </w:p>
    <w:p w14:paraId="0868ED73" w14:textId="712039C7" w:rsidR="007E0282" w:rsidRDefault="006E05DF" w:rsidP="007E0282">
      <w:pPr>
        <w:pStyle w:val="ListParagraph"/>
        <w:numPr>
          <w:ilvl w:val="0"/>
          <w:numId w:val="37"/>
        </w:numPr>
        <w:spacing w:after="120" w:line="360" w:lineRule="auto"/>
      </w:pPr>
      <w:r>
        <w:t>Eleva</w:t>
      </w:r>
      <w:r w:rsidR="007E0282">
        <w:t xml:space="preserve">ting </w:t>
      </w:r>
      <w:r w:rsidR="0067611E" w:rsidRPr="0067611E">
        <w:t xml:space="preserve">the voice of service </w:t>
      </w:r>
      <w:r w:rsidR="0067611E">
        <w:t>users</w:t>
      </w:r>
      <w:r w:rsidR="0067611E" w:rsidRPr="0067611E">
        <w:t xml:space="preserve"> (</w:t>
      </w:r>
      <w:r w:rsidR="0067611E">
        <w:t xml:space="preserve">e.g. </w:t>
      </w:r>
      <w:r w:rsidR="0067611E" w:rsidRPr="0067611E">
        <w:t xml:space="preserve">participants and employers) to the front of </w:t>
      </w:r>
      <w:r>
        <w:t>service and support design</w:t>
      </w:r>
      <w:r w:rsidR="0067611E" w:rsidRPr="0067611E">
        <w:t xml:space="preserve"> </w:t>
      </w:r>
    </w:p>
    <w:p w14:paraId="78ABFFE9" w14:textId="57158F2B" w:rsidR="006E05DF" w:rsidRDefault="00386F6C" w:rsidP="007E0282">
      <w:pPr>
        <w:pStyle w:val="ListParagraph"/>
        <w:numPr>
          <w:ilvl w:val="0"/>
          <w:numId w:val="37"/>
        </w:numPr>
        <w:spacing w:after="120" w:line="360" w:lineRule="auto"/>
      </w:pPr>
      <w:r>
        <w:t>C</w:t>
      </w:r>
      <w:r w:rsidRPr="00386F6C">
        <w:t>elebrate</w:t>
      </w:r>
      <w:r>
        <w:t>,</w:t>
      </w:r>
      <w:r w:rsidRPr="00386F6C">
        <w:t xml:space="preserve"> promote and endorse innovative service delivery in the </w:t>
      </w:r>
      <w:r w:rsidR="0009023A">
        <w:t xml:space="preserve">disability employment </w:t>
      </w:r>
      <w:r w:rsidRPr="00386F6C">
        <w:t>sector</w:t>
      </w:r>
    </w:p>
    <w:p w14:paraId="49DCE560" w14:textId="681436C8" w:rsidR="0009023A" w:rsidRDefault="0009023A" w:rsidP="007E0282">
      <w:pPr>
        <w:pStyle w:val="ListParagraph"/>
        <w:numPr>
          <w:ilvl w:val="0"/>
          <w:numId w:val="37"/>
        </w:numPr>
        <w:spacing w:after="120" w:line="360" w:lineRule="auto"/>
      </w:pPr>
      <w:r w:rsidRPr="0009023A">
        <w:t xml:space="preserve">A </w:t>
      </w:r>
      <w:r>
        <w:t xml:space="preserve">trusted </w:t>
      </w:r>
      <w:r w:rsidRPr="0009023A">
        <w:t xml:space="preserve">repository </w:t>
      </w:r>
      <w:r>
        <w:t>of</w:t>
      </w:r>
      <w:r w:rsidRPr="0009023A">
        <w:t xml:space="preserve"> </w:t>
      </w:r>
      <w:r w:rsidR="00B50AD7">
        <w:t xml:space="preserve">up to date </w:t>
      </w:r>
      <w:r>
        <w:t>disability employment</w:t>
      </w:r>
      <w:r w:rsidRPr="0009023A">
        <w:t xml:space="preserve"> data</w:t>
      </w:r>
    </w:p>
    <w:p w14:paraId="2AEE2921" w14:textId="4C9CA8FD" w:rsidR="00197B2A" w:rsidRDefault="00197B2A" w:rsidP="00547FE2">
      <w:pPr>
        <w:pStyle w:val="ListParagraph"/>
        <w:numPr>
          <w:ilvl w:val="0"/>
          <w:numId w:val="37"/>
        </w:numPr>
        <w:spacing w:after="120" w:line="360" w:lineRule="auto"/>
      </w:pPr>
      <w:r>
        <w:t>Developing</w:t>
      </w:r>
      <w:r w:rsidR="00E94887">
        <w:t xml:space="preserve"> high quality training materials for </w:t>
      </w:r>
      <w:r>
        <w:t>use</w:t>
      </w:r>
      <w:r w:rsidR="00E94887">
        <w:t xml:space="preserve"> </w:t>
      </w:r>
      <w:r w:rsidR="00B50AD7">
        <w:t>by</w:t>
      </w:r>
      <w:r w:rsidR="00E94887">
        <w:t xml:space="preserve"> the sector</w:t>
      </w:r>
      <w:r>
        <w:t xml:space="preserve"> </w:t>
      </w:r>
    </w:p>
    <w:p w14:paraId="5D14E8D3" w14:textId="02B8A269" w:rsidR="00E94887" w:rsidRDefault="00B50AD7" w:rsidP="00547FE2">
      <w:pPr>
        <w:pStyle w:val="ListParagraph"/>
        <w:numPr>
          <w:ilvl w:val="0"/>
          <w:numId w:val="37"/>
        </w:numPr>
        <w:spacing w:after="120" w:line="360" w:lineRule="auto"/>
      </w:pPr>
      <w:r>
        <w:t xml:space="preserve">Assisting in </w:t>
      </w:r>
      <w:r w:rsidR="00E94887">
        <w:t>program design</w:t>
      </w:r>
      <w:r w:rsidR="00633EBB">
        <w:t xml:space="preserve"> and</w:t>
      </w:r>
      <w:r w:rsidR="00871657">
        <w:t xml:space="preserve"> </w:t>
      </w:r>
      <w:r w:rsidR="00633EBB" w:rsidRPr="00633EBB">
        <w:t>act</w:t>
      </w:r>
      <w:r w:rsidR="00633EBB">
        <w:t>ing</w:t>
      </w:r>
      <w:r w:rsidR="00633EBB" w:rsidRPr="00633EBB">
        <w:t xml:space="preserve"> as an independent review panel for government policy, with </w:t>
      </w:r>
      <w:r w:rsidR="00451944">
        <w:t xml:space="preserve">trialling and testing </w:t>
      </w:r>
      <w:r w:rsidR="00633EBB" w:rsidRPr="00633EBB">
        <w:t>powers</w:t>
      </w:r>
    </w:p>
    <w:p w14:paraId="262E180E" w14:textId="75C645F0" w:rsidR="00871657" w:rsidRDefault="00677AAD" w:rsidP="00547FE2">
      <w:pPr>
        <w:pStyle w:val="ListParagraph"/>
        <w:numPr>
          <w:ilvl w:val="0"/>
          <w:numId w:val="37"/>
        </w:numPr>
        <w:spacing w:after="120" w:line="360" w:lineRule="auto"/>
      </w:pPr>
      <w:r>
        <w:t xml:space="preserve">Link </w:t>
      </w:r>
      <w:r w:rsidR="00871657" w:rsidRPr="00871657">
        <w:t xml:space="preserve">academia and the sector to develop robust </w:t>
      </w:r>
      <w:r w:rsidR="00D52706">
        <w:t xml:space="preserve">innovative </w:t>
      </w:r>
      <w:r w:rsidR="00871657" w:rsidRPr="00871657">
        <w:t xml:space="preserve">models for research and </w:t>
      </w:r>
      <w:r w:rsidR="00D52706">
        <w:t>implementation</w:t>
      </w:r>
    </w:p>
    <w:p w14:paraId="142C73F3" w14:textId="27F484E9" w:rsidR="007E0282" w:rsidRDefault="008160D8" w:rsidP="00B93EF5">
      <w:pPr>
        <w:pStyle w:val="ListParagraph"/>
        <w:numPr>
          <w:ilvl w:val="0"/>
          <w:numId w:val="37"/>
        </w:numPr>
        <w:spacing w:after="120" w:line="360" w:lineRule="auto"/>
      </w:pPr>
      <w:r>
        <w:t>E</w:t>
      </w:r>
      <w:r w:rsidRPr="008160D8">
        <w:t>nable research</w:t>
      </w:r>
      <w:r>
        <w:t>,</w:t>
      </w:r>
      <w:r w:rsidRPr="008160D8">
        <w:t xml:space="preserve"> development and dissemination of results in </w:t>
      </w:r>
      <w:r w:rsidR="00382CD1">
        <w:t>a range of</w:t>
      </w:r>
      <w:r w:rsidRPr="008160D8">
        <w:t xml:space="preserve"> formats</w:t>
      </w:r>
    </w:p>
    <w:p w14:paraId="5A1C5E8A" w14:textId="16269512" w:rsidR="00017D47" w:rsidRDefault="00017D47" w:rsidP="006A5FE3">
      <w:pPr>
        <w:pStyle w:val="Heading1"/>
        <w:numPr>
          <w:ilvl w:val="0"/>
          <w:numId w:val="44"/>
        </w:numPr>
        <w:ind w:left="284"/>
      </w:pPr>
      <w:r w:rsidRPr="00017D47">
        <w:t>Who could the Centre assist?</w:t>
      </w:r>
    </w:p>
    <w:p w14:paraId="57A75C89" w14:textId="4B71CC38" w:rsidR="002306B7" w:rsidRPr="00BC79AE" w:rsidRDefault="002306B7" w:rsidP="00B93EF5">
      <w:pPr>
        <w:spacing w:after="120"/>
        <w:rPr>
          <w:b/>
          <w:bCs/>
        </w:rPr>
      </w:pPr>
      <w:r w:rsidRPr="00BC79AE">
        <w:rPr>
          <w:b/>
          <w:bCs/>
        </w:rPr>
        <w:t>Who can the Centre assist? Are any groups missing?</w:t>
      </w:r>
    </w:p>
    <w:p w14:paraId="7011CA70" w14:textId="73C9EFB4" w:rsidR="002306B7" w:rsidRDefault="002306B7" w:rsidP="00B93EF5">
      <w:pPr>
        <w:spacing w:after="120"/>
      </w:pPr>
      <w:r>
        <w:t xml:space="preserve">NDS agrees with the groups identified in the paper. NDS members have suggested that disability support services also be identified, even though they may not have a specific role as employment support providers. If they assist or directly support people of workforce age, they should be encouraged to be aware of and make use of the Centre as well as advising the people they support that it may be a useful source of information and assistance for them. </w:t>
      </w:r>
    </w:p>
    <w:p w14:paraId="32665111" w14:textId="6C7E478A" w:rsidR="002306B7" w:rsidRDefault="002306B7" w:rsidP="00B93EF5">
      <w:pPr>
        <w:spacing w:after="120"/>
      </w:pPr>
      <w:r>
        <w:t xml:space="preserve">The freeing up of the provision of employment supports by NDIS providers and NDIS participants being able to seek employment supports from disability service providers that have not traditionally provided employment supports </w:t>
      </w:r>
      <w:r w:rsidR="00F41A50">
        <w:t>must</w:t>
      </w:r>
      <w:r>
        <w:t xml:space="preserve"> be recognised in the Centre’s charter.  </w:t>
      </w:r>
    </w:p>
    <w:p w14:paraId="43E092A4" w14:textId="23A7C0C5" w:rsidR="002306B7" w:rsidRDefault="002306B7" w:rsidP="00B93EF5">
      <w:pPr>
        <w:spacing w:after="120"/>
      </w:pPr>
      <w:r>
        <w:t xml:space="preserve">NDS members have also recommended that education providers in both the secondary and tertiary sectors be supported to use the Centre as well as encouraging young people in education settings to access it. Education providers such as schools and </w:t>
      </w:r>
      <w:r>
        <w:lastRenderedPageBreak/>
        <w:t>TAFE that offer employment preparation</w:t>
      </w:r>
      <w:r w:rsidR="005D2A7C">
        <w:t>,</w:t>
      </w:r>
      <w:r>
        <w:t xml:space="preserve"> training and work experience are a key element of the disability employment ecosystem and often work closely with disability employment providers.</w:t>
      </w:r>
    </w:p>
    <w:p w14:paraId="0D6739DF" w14:textId="31F73424" w:rsidR="002306B7" w:rsidRPr="00BC79AE" w:rsidRDefault="002306B7" w:rsidP="00B93EF5">
      <w:pPr>
        <w:spacing w:after="120"/>
        <w:rPr>
          <w:b/>
          <w:bCs/>
        </w:rPr>
      </w:pPr>
      <w:r w:rsidRPr="00BC79AE">
        <w:rPr>
          <w:b/>
          <w:bCs/>
        </w:rPr>
        <w:t>How can the Centre work with stakeholders to increase the employment rate for people with disability?</w:t>
      </w:r>
    </w:p>
    <w:p w14:paraId="15753416" w14:textId="459DA6BB" w:rsidR="002306B7" w:rsidRDefault="002306B7" w:rsidP="00B93EF5">
      <w:pPr>
        <w:spacing w:after="120"/>
      </w:pPr>
      <w:r>
        <w:t xml:space="preserve">The Centre needs to encourage </w:t>
      </w:r>
      <w:r w:rsidR="005D2A7C">
        <w:t xml:space="preserve">and facilitate </w:t>
      </w:r>
      <w:r>
        <w:t xml:space="preserve">seamless interaction between the various stakeholders, recognising that they may have disparate and sometimes conflicting functions, objectives and aspirations, not to mention knowledge of </w:t>
      </w:r>
      <w:r w:rsidR="00EA1C1C">
        <w:t xml:space="preserve">and </w:t>
      </w:r>
      <w:r>
        <w:t>ability to navigate the disability employment ecosystem.</w:t>
      </w:r>
    </w:p>
    <w:p w14:paraId="7C21050A" w14:textId="55D46C51" w:rsidR="002306B7" w:rsidRDefault="002306B7" w:rsidP="00B93EF5">
      <w:pPr>
        <w:spacing w:after="120"/>
      </w:pPr>
      <w:r>
        <w:t>This is especially relevant for people with disability and their families and carers as well as employers. The Disability Royal Commission cited many examples where people with disability (especially those who may not have had access to significant support networks) were simply overwhelmed when trying to navigate the disability service system</w:t>
      </w:r>
      <w:r w:rsidR="00F75293">
        <w:t xml:space="preserve">, with regrettable </w:t>
      </w:r>
      <w:r w:rsidR="00BF43F2">
        <w:t>results</w:t>
      </w:r>
      <w:r>
        <w:t xml:space="preserve">. The DRC has made several important recommendations specifying how important it is that information about service and support systems is readily available in accessible formats and </w:t>
      </w:r>
      <w:r w:rsidR="00BF43F2">
        <w:t xml:space="preserve">easily obtained </w:t>
      </w:r>
      <w:r>
        <w:t xml:space="preserve">from multiple sources.  </w:t>
      </w:r>
    </w:p>
    <w:p w14:paraId="25CC8BCE" w14:textId="1AD9EFD5" w:rsidR="002306B7" w:rsidRPr="00BC79AE" w:rsidRDefault="002306B7" w:rsidP="00B93EF5">
      <w:pPr>
        <w:spacing w:after="120"/>
        <w:rPr>
          <w:b/>
          <w:bCs/>
        </w:rPr>
      </w:pPr>
      <w:r w:rsidRPr="00BC79AE">
        <w:rPr>
          <w:b/>
          <w:bCs/>
        </w:rPr>
        <w:t>What can the Centre do to increase the capability and capacity of employment service providers?</w:t>
      </w:r>
    </w:p>
    <w:p w14:paraId="7549098B" w14:textId="5B5F7D2D" w:rsidR="00914B6E" w:rsidRDefault="00237635" w:rsidP="00B93EF5">
      <w:pPr>
        <w:spacing w:after="120"/>
      </w:pPr>
      <w:r>
        <w:t>T</w:t>
      </w:r>
      <w:r w:rsidRPr="00237635">
        <w:t xml:space="preserve">he Centre </w:t>
      </w:r>
      <w:r>
        <w:t>can</w:t>
      </w:r>
      <w:r w:rsidRPr="00237635">
        <w:t xml:space="preserve"> increase the capability and capacity of employment service providers</w:t>
      </w:r>
      <w:r>
        <w:t xml:space="preserve"> through </w:t>
      </w:r>
      <w:r w:rsidR="00345112">
        <w:t xml:space="preserve">the provision of a </w:t>
      </w:r>
      <w:r>
        <w:t xml:space="preserve">comprehensive </w:t>
      </w:r>
      <w:r w:rsidR="00345112">
        <w:t xml:space="preserve">library or catalogue of </w:t>
      </w:r>
      <w:r w:rsidR="0080325E" w:rsidRPr="0080325E">
        <w:t xml:space="preserve">good practice models and case studies </w:t>
      </w:r>
      <w:r w:rsidR="0080325E">
        <w:t>in employment support provision</w:t>
      </w:r>
      <w:r w:rsidR="00DC2332">
        <w:t>, social enterprise models a</w:t>
      </w:r>
      <w:r w:rsidR="0092675A">
        <w:t>s</w:t>
      </w:r>
      <w:r w:rsidR="00DC2332">
        <w:t xml:space="preserve"> an emphasis on</w:t>
      </w:r>
      <w:r w:rsidR="0092675A">
        <w:t xml:space="preserve"> collaboration through network building and Communities of Practice. These are covered in more detail in the </w:t>
      </w:r>
      <w:r w:rsidR="00EC4010">
        <w:t xml:space="preserve">section identifying the Centre’s priorities. </w:t>
      </w:r>
      <w:r w:rsidR="00DC2332">
        <w:t xml:space="preserve">  </w:t>
      </w:r>
    </w:p>
    <w:p w14:paraId="622AA2F1" w14:textId="5E51702B" w:rsidR="00E50B79" w:rsidRPr="00D63958" w:rsidRDefault="00A87435" w:rsidP="00B93EF5">
      <w:pPr>
        <w:spacing w:after="120"/>
      </w:pPr>
      <w:r w:rsidRPr="00D63958">
        <w:t xml:space="preserve">NDS members </w:t>
      </w:r>
      <w:r w:rsidR="00914B6E">
        <w:t xml:space="preserve">also </w:t>
      </w:r>
      <w:r w:rsidRPr="00D63958">
        <w:t>provided feedback</w:t>
      </w:r>
      <w:r w:rsidR="004A12A0" w:rsidRPr="00D63958">
        <w:t xml:space="preserve"> identifying that the </w:t>
      </w:r>
      <w:r w:rsidR="002306B7" w:rsidRPr="00D63958">
        <w:t xml:space="preserve">Centre could be a valuable resource </w:t>
      </w:r>
      <w:r w:rsidR="004A12A0" w:rsidRPr="00D63958">
        <w:t xml:space="preserve">for the disability employment </w:t>
      </w:r>
      <w:r w:rsidR="002306B7" w:rsidRPr="00D63958">
        <w:t xml:space="preserve">sector by </w:t>
      </w:r>
      <w:r w:rsidR="00F017C9" w:rsidRPr="00D63958">
        <w:t xml:space="preserve">exercising a role </w:t>
      </w:r>
      <w:r w:rsidR="002306B7" w:rsidRPr="00D63958">
        <w:t xml:space="preserve">as </w:t>
      </w:r>
      <w:r w:rsidR="00F017C9" w:rsidRPr="00D63958">
        <w:t>o</w:t>
      </w:r>
      <w:r w:rsidR="002306B7" w:rsidRPr="00D63958">
        <w:t xml:space="preserve">verseer of training standards and industry minimum requirements. </w:t>
      </w:r>
    </w:p>
    <w:p w14:paraId="02C91D06" w14:textId="77777777" w:rsidR="00596221" w:rsidRDefault="002306B7" w:rsidP="00596221">
      <w:pPr>
        <w:spacing w:after="120"/>
      </w:pPr>
      <w:r w:rsidRPr="00D63958">
        <w:t xml:space="preserve">This </w:t>
      </w:r>
      <w:r w:rsidR="00E50B79" w:rsidRPr="00D63958">
        <w:t xml:space="preserve">role </w:t>
      </w:r>
      <w:r w:rsidRPr="00D63958">
        <w:t xml:space="preserve">could be extended </w:t>
      </w:r>
      <w:r w:rsidR="00BC20DF" w:rsidRPr="00D63958">
        <w:t>to</w:t>
      </w:r>
      <w:r w:rsidRPr="00D63958">
        <w:t xml:space="preserve"> </w:t>
      </w:r>
      <w:r w:rsidR="000C0804" w:rsidRPr="00D63958">
        <w:t xml:space="preserve">acting as </w:t>
      </w:r>
      <w:r w:rsidRPr="00D63958">
        <w:t xml:space="preserve">an industry advocate promoting and coordinating a Continuing Professional Development (CDP) framework. </w:t>
      </w:r>
      <w:r w:rsidR="00A200B4" w:rsidRPr="00D63958">
        <w:t>The</w:t>
      </w:r>
      <w:r w:rsidRPr="00D63958">
        <w:t xml:space="preserve"> CDP </w:t>
      </w:r>
      <w:r w:rsidR="001C7D2C" w:rsidRPr="00D63958">
        <w:t xml:space="preserve">could acknowledge and track </w:t>
      </w:r>
      <w:r w:rsidRPr="00D63958">
        <w:t xml:space="preserve">employees’ </w:t>
      </w:r>
      <w:r w:rsidR="004A337E" w:rsidRPr="00D63958">
        <w:t xml:space="preserve">roles and </w:t>
      </w:r>
      <w:r w:rsidRPr="00D63958">
        <w:t xml:space="preserve">work, additional skill development </w:t>
      </w:r>
      <w:r w:rsidR="00B6206A" w:rsidRPr="00D63958">
        <w:t>via an</w:t>
      </w:r>
      <w:r w:rsidR="004A337E" w:rsidRPr="00D63958">
        <w:t xml:space="preserve"> </w:t>
      </w:r>
      <w:r w:rsidRPr="00D63958">
        <w:t xml:space="preserve">individualised professional development plan that </w:t>
      </w:r>
      <w:r w:rsidR="00B6206A" w:rsidRPr="00D63958">
        <w:t>recognises sector</w:t>
      </w:r>
      <w:r w:rsidRPr="00D63958">
        <w:t>-wide levels of professional development</w:t>
      </w:r>
      <w:r w:rsidR="00D63958">
        <w:t xml:space="preserve"> and </w:t>
      </w:r>
      <w:r w:rsidR="00590523">
        <w:t xml:space="preserve">accredited </w:t>
      </w:r>
      <w:r w:rsidR="00D63958">
        <w:t>skills</w:t>
      </w:r>
      <w:r w:rsidRPr="00D63958">
        <w:t xml:space="preserve">. </w:t>
      </w:r>
      <w:r w:rsidR="00B6612A" w:rsidRPr="00D63958">
        <w:t xml:space="preserve">Current CDP </w:t>
      </w:r>
      <w:r w:rsidRPr="00D63958">
        <w:t xml:space="preserve">models </w:t>
      </w:r>
      <w:r w:rsidR="004B64C1" w:rsidRPr="00D63958">
        <w:t xml:space="preserve">that could be </w:t>
      </w:r>
      <w:r w:rsidR="004B64C1" w:rsidRPr="00D63958">
        <w:lastRenderedPageBreak/>
        <w:t>examined for application by the Centre include the</w:t>
      </w:r>
      <w:r w:rsidRPr="00D63958">
        <w:t xml:space="preserve"> Royal Australian College of General Practitioners (RACGP), and </w:t>
      </w:r>
      <w:r w:rsidR="00D63958" w:rsidRPr="00D63958">
        <w:t xml:space="preserve">the </w:t>
      </w:r>
      <w:r w:rsidRPr="00D63958">
        <w:t>Australian Institute of Company Directors (AICD)</w:t>
      </w:r>
      <w:bookmarkStart w:id="3" w:name="_Toc148389219"/>
      <w:r w:rsidR="00596221">
        <w:t>.</w:t>
      </w:r>
    </w:p>
    <w:bookmarkEnd w:id="3"/>
    <w:p w14:paraId="42F58E9E" w14:textId="4914388B" w:rsidR="67F00D6D" w:rsidRPr="00596221" w:rsidRDefault="00E95F04" w:rsidP="006A5FE3">
      <w:pPr>
        <w:pStyle w:val="Heading1"/>
        <w:numPr>
          <w:ilvl w:val="0"/>
          <w:numId w:val="44"/>
        </w:numPr>
        <w:ind w:left="284"/>
      </w:pPr>
      <w:r w:rsidRPr="00596221">
        <w:t>What models exist?</w:t>
      </w:r>
    </w:p>
    <w:p w14:paraId="2E342631" w14:textId="39BD7C18" w:rsidR="00DF5063" w:rsidRPr="00BC79AE" w:rsidRDefault="00DF5063" w:rsidP="00DF5063">
      <w:pPr>
        <w:rPr>
          <w:b/>
          <w:bCs/>
        </w:rPr>
      </w:pPr>
      <w:r w:rsidRPr="00BC79AE">
        <w:rPr>
          <w:b/>
          <w:bCs/>
        </w:rPr>
        <w:t>What are your views on the models presented?</w:t>
      </w:r>
    </w:p>
    <w:p w14:paraId="1C6E8999" w14:textId="5E9C0FFA" w:rsidR="00DF5063" w:rsidRPr="00D9053C" w:rsidRDefault="008B6D3D" w:rsidP="00DF5063">
      <w:r>
        <w:t xml:space="preserve">NDS regards all the models </w:t>
      </w:r>
      <w:r w:rsidR="00D27904">
        <w:t>identified in the paper as having various positives</w:t>
      </w:r>
      <w:r w:rsidR="00117E98">
        <w:t xml:space="preserve">, whether </w:t>
      </w:r>
      <w:r w:rsidR="00117E98" w:rsidRPr="00D9053C">
        <w:t xml:space="preserve">combined or individually. </w:t>
      </w:r>
    </w:p>
    <w:p w14:paraId="6E68C6FE" w14:textId="44A6E3CD" w:rsidR="00D9053C" w:rsidRPr="00D9053C" w:rsidRDefault="00DF5063" w:rsidP="00DF5063">
      <w:r w:rsidRPr="00D9053C">
        <w:t xml:space="preserve">There is </w:t>
      </w:r>
      <w:r w:rsidR="008735D0" w:rsidRPr="00D9053C">
        <w:t xml:space="preserve">a clear need for </w:t>
      </w:r>
      <w:r w:rsidRPr="00D9053C">
        <w:t>better research, evaluation, dissemination and implementation of relevant information and practices that would ultimately benefit all stakeholders</w:t>
      </w:r>
      <w:r w:rsidR="008735D0" w:rsidRPr="00D9053C">
        <w:t xml:space="preserve"> and enhance the provision of disability employment support and the employment rate of people with dis</w:t>
      </w:r>
      <w:r w:rsidR="00D9053C" w:rsidRPr="00D9053C">
        <w:t>a</w:t>
      </w:r>
      <w:r w:rsidR="008735D0" w:rsidRPr="00D9053C">
        <w:t>bility</w:t>
      </w:r>
      <w:r w:rsidRPr="00D9053C">
        <w:t xml:space="preserve">. </w:t>
      </w:r>
    </w:p>
    <w:p w14:paraId="681CA4DE" w14:textId="5A9E1353" w:rsidR="00DF5063" w:rsidRPr="002B45FE" w:rsidRDefault="00DF5063" w:rsidP="00DF5063">
      <w:r w:rsidRPr="002B45FE">
        <w:t>Th</w:t>
      </w:r>
      <w:r w:rsidR="00D9053C" w:rsidRPr="002B45FE">
        <w:t>e Cent</w:t>
      </w:r>
      <w:r w:rsidR="00837CBA" w:rsidRPr="002B45FE">
        <w:t>re could utilise</w:t>
      </w:r>
      <w:r w:rsidRPr="002B45FE">
        <w:t xml:space="preserve"> a clearinghouse approach to the dissemination of information and </w:t>
      </w:r>
      <w:r w:rsidR="002B45FE" w:rsidRPr="002B45FE">
        <w:t>the</w:t>
      </w:r>
      <w:r w:rsidRPr="002B45FE">
        <w:t xml:space="preserve"> capacity to develop an evidence-based training hub.</w:t>
      </w:r>
    </w:p>
    <w:p w14:paraId="13F08B0F" w14:textId="1939BA48" w:rsidR="00DF5063" w:rsidRDefault="00DF5063" w:rsidP="00DF5063">
      <w:r w:rsidRPr="00487424">
        <w:t xml:space="preserve">A statutory agency approach </w:t>
      </w:r>
      <w:r w:rsidR="007350E3" w:rsidRPr="00487424">
        <w:t xml:space="preserve">would also have merit </w:t>
      </w:r>
      <w:r w:rsidR="00134AC1" w:rsidRPr="00487424">
        <w:t xml:space="preserve">if it was seen to </w:t>
      </w:r>
      <w:r w:rsidR="003A1B24" w:rsidRPr="00487424">
        <w:t xml:space="preserve">truly independent of </w:t>
      </w:r>
      <w:r w:rsidR="0014741D" w:rsidRPr="00487424">
        <w:t xml:space="preserve">government. NDS remains unconvinced that the Centre </w:t>
      </w:r>
      <w:r w:rsidR="005D15D6" w:rsidRPr="00487424">
        <w:t xml:space="preserve">could be seen as </w:t>
      </w:r>
      <w:r w:rsidR="007A1CF2" w:rsidRPr="00487424">
        <w:t xml:space="preserve">both </w:t>
      </w:r>
      <w:r w:rsidRPr="00487424">
        <w:t xml:space="preserve">a </w:t>
      </w:r>
      <w:r w:rsidR="005D15D6" w:rsidRPr="00487424">
        <w:t xml:space="preserve">repository of </w:t>
      </w:r>
      <w:r w:rsidRPr="00487424">
        <w:t xml:space="preserve">good practice and </w:t>
      </w:r>
      <w:r w:rsidR="007A1CF2" w:rsidRPr="00487424">
        <w:t xml:space="preserve">a regulator enforcing compliance. </w:t>
      </w:r>
      <w:r w:rsidR="004619F9" w:rsidRPr="00487424">
        <w:t xml:space="preserve">Any compliance and regulatory role undertaken by the </w:t>
      </w:r>
      <w:r w:rsidR="000D13C4" w:rsidRPr="00487424">
        <w:t>Centre</w:t>
      </w:r>
      <w:r w:rsidR="004619F9" w:rsidRPr="00487424">
        <w:t xml:space="preserve"> should replace, rather than duplicate or add to</w:t>
      </w:r>
      <w:r w:rsidR="000D13C4" w:rsidRPr="00487424">
        <w:t xml:space="preserve"> existing regulatory and compliance frameworks</w:t>
      </w:r>
      <w:r w:rsidR="00487424" w:rsidRPr="00487424">
        <w:t xml:space="preserve"> for service providers and employers</w:t>
      </w:r>
      <w:r w:rsidR="000D13C4" w:rsidRPr="00487424">
        <w:t xml:space="preserve">. </w:t>
      </w:r>
      <w:r w:rsidR="004619F9" w:rsidRPr="00487424">
        <w:t xml:space="preserve"> </w:t>
      </w:r>
    </w:p>
    <w:p w14:paraId="1B0382E7" w14:textId="7563C048" w:rsidR="00DF5063" w:rsidRPr="00BC79AE" w:rsidRDefault="00DF5063" w:rsidP="00DF5063">
      <w:pPr>
        <w:rPr>
          <w:b/>
          <w:bCs/>
        </w:rPr>
      </w:pPr>
      <w:r w:rsidRPr="00BC79AE">
        <w:rPr>
          <w:b/>
          <w:bCs/>
        </w:rPr>
        <w:t>Are there any models for a Centre to consider that are not included in this paper?</w:t>
      </w:r>
    </w:p>
    <w:p w14:paraId="4C9A4D07" w14:textId="25C258B5" w:rsidR="00DF5063" w:rsidRDefault="001565F9" w:rsidP="00DF5063">
      <w:r>
        <w:t xml:space="preserve">NDS </w:t>
      </w:r>
      <w:r w:rsidR="00826CDD">
        <w:t xml:space="preserve">would cite the </w:t>
      </w:r>
      <w:r w:rsidR="00DF5063">
        <w:t xml:space="preserve">Technical Assistance </w:t>
      </w:r>
      <w:r w:rsidR="00826CDD">
        <w:t>M</w:t>
      </w:r>
      <w:r w:rsidR="00DF5063">
        <w:t xml:space="preserve">odel and the </w:t>
      </w:r>
      <w:r w:rsidR="00CD6C6C">
        <w:t>F</w:t>
      </w:r>
      <w:r w:rsidR="00DF5063">
        <w:t xml:space="preserve">ield-building </w:t>
      </w:r>
      <w:r w:rsidR="00CD6C6C">
        <w:t>I</w:t>
      </w:r>
      <w:r w:rsidR="00DF5063">
        <w:t xml:space="preserve">ntermediary </w:t>
      </w:r>
      <w:r w:rsidR="00CD6C6C">
        <w:t>M</w:t>
      </w:r>
      <w:r w:rsidR="00DF5063">
        <w:t>odel.</w:t>
      </w:r>
    </w:p>
    <w:p w14:paraId="36E62282" w14:textId="4E79A5A3" w:rsidR="00826CDD" w:rsidRDefault="001F1B92" w:rsidP="001F1B92">
      <w:r>
        <w:t xml:space="preserve">In the context of </w:t>
      </w:r>
      <w:r w:rsidR="007D4505">
        <w:t xml:space="preserve">the development of the </w:t>
      </w:r>
      <w:r>
        <w:t>Centre</w:t>
      </w:r>
      <w:r w:rsidR="007D4505">
        <w:t xml:space="preserve">, </w:t>
      </w:r>
      <w:r>
        <w:t>a technical assistance model c</w:t>
      </w:r>
      <w:r w:rsidR="00BC0FF8">
        <w:t>ould</w:t>
      </w:r>
      <w:r>
        <w:t xml:space="preserve"> provide guidance and support to the </w:t>
      </w:r>
      <w:r w:rsidR="007D4505">
        <w:t>Centre’</w:t>
      </w:r>
      <w:r>
        <w:t xml:space="preserve">s stakeholders, such as </w:t>
      </w:r>
      <w:r w:rsidR="00BC0FF8">
        <w:t xml:space="preserve">employment services and employers, </w:t>
      </w:r>
      <w:r>
        <w:t>to improve their performance, skills, or knowledge. The technical assistance model can be implemented through various methods, such as training, coaching, mentoring, or consultation</w:t>
      </w:r>
      <w:r w:rsidR="00532422">
        <w:t xml:space="preserve">. </w:t>
      </w:r>
    </w:p>
    <w:p w14:paraId="51644DF6" w14:textId="41F68D10" w:rsidR="009F3D9A" w:rsidRDefault="009F3D9A" w:rsidP="001F1B92">
      <w:r w:rsidRPr="009F3D9A">
        <w:t xml:space="preserve">A field-building intermediary model is a framework that aims to influence </w:t>
      </w:r>
      <w:r w:rsidR="00AD6B2F">
        <w:t>systemic c</w:t>
      </w:r>
      <w:r w:rsidRPr="009F3D9A">
        <w:t xml:space="preserve">hange by working with </w:t>
      </w:r>
      <w:r w:rsidR="00321ADA">
        <w:t xml:space="preserve">multiple stakeholders. </w:t>
      </w:r>
      <w:r w:rsidRPr="009F3D9A">
        <w:t xml:space="preserve">It </w:t>
      </w:r>
      <w:r w:rsidR="00321ADA">
        <w:t>can</w:t>
      </w:r>
      <w:r w:rsidRPr="009F3D9A">
        <w:t xml:space="preserve"> engage and coordinate stakeholders to </w:t>
      </w:r>
      <w:r w:rsidR="00732086">
        <w:t xml:space="preserve">build </w:t>
      </w:r>
      <w:r w:rsidRPr="009F3D9A">
        <w:t xml:space="preserve">partnerships </w:t>
      </w:r>
      <w:r w:rsidR="00732086">
        <w:t>and</w:t>
      </w:r>
      <w:r w:rsidRPr="009F3D9A">
        <w:t xml:space="preserve"> shar</w:t>
      </w:r>
      <w:r w:rsidR="00732086">
        <w:t xml:space="preserve">e </w:t>
      </w:r>
      <w:r w:rsidRPr="009F3D9A">
        <w:t>best practice</w:t>
      </w:r>
      <w:r w:rsidR="00FD54AA">
        <w:t xml:space="preserve"> and</w:t>
      </w:r>
      <w:r w:rsidR="00732086">
        <w:t xml:space="preserve"> so </w:t>
      </w:r>
      <w:r w:rsidR="00FD54AA">
        <w:t>is worth considering in the development of the Centre</w:t>
      </w:r>
      <w:r w:rsidRPr="009F3D9A">
        <w:t>.</w:t>
      </w:r>
    </w:p>
    <w:p w14:paraId="00B91662" w14:textId="03232295" w:rsidR="00DF5063" w:rsidRPr="00BC79AE" w:rsidRDefault="00DF5063" w:rsidP="00DF5063">
      <w:pPr>
        <w:rPr>
          <w:b/>
          <w:bCs/>
        </w:rPr>
      </w:pPr>
      <w:r w:rsidRPr="00BC79AE">
        <w:rPr>
          <w:b/>
          <w:bCs/>
        </w:rPr>
        <w:lastRenderedPageBreak/>
        <w:t>What can the Government take from existing models of Centre of Excellence? What should be ruled out?</w:t>
      </w:r>
    </w:p>
    <w:p w14:paraId="43EDD55E" w14:textId="04D581C2" w:rsidR="00DA1C21" w:rsidRDefault="00A703E8" w:rsidP="00DF5063">
      <w:r>
        <w:t xml:space="preserve">NDS considers the </w:t>
      </w:r>
      <w:r w:rsidR="00DF5063">
        <w:t>Analysis and Policy Observatory (APO)</w:t>
      </w:r>
      <w:r w:rsidR="003125B2">
        <w:t>,</w:t>
      </w:r>
      <w:r w:rsidR="00DF5063">
        <w:t xml:space="preserve"> which has a two decade long set of disability employment literature</w:t>
      </w:r>
      <w:r w:rsidR="003125B2">
        <w:t xml:space="preserve"> to be an extremely useful m</w:t>
      </w:r>
      <w:r w:rsidR="003766DF">
        <w:t>odel for the Centre</w:t>
      </w:r>
      <w:r w:rsidR="00DF5063">
        <w:t xml:space="preserve">. </w:t>
      </w:r>
      <w:r w:rsidR="003766DF">
        <w:t xml:space="preserve">The </w:t>
      </w:r>
      <w:r w:rsidR="00DF5063">
        <w:t xml:space="preserve">APO provides </w:t>
      </w:r>
      <w:r w:rsidR="00C245BF">
        <w:t xml:space="preserve">existing knowledge repository </w:t>
      </w:r>
      <w:r w:rsidR="004E2702">
        <w:t>that the Centr</w:t>
      </w:r>
      <w:r w:rsidR="00C245BF">
        <w:t>e</w:t>
      </w:r>
      <w:r w:rsidR="004E2702">
        <w:t xml:space="preserve"> could</w:t>
      </w:r>
      <w:r w:rsidR="00DF5063">
        <w:t xml:space="preserve"> build on</w:t>
      </w:r>
      <w:r w:rsidR="00C245BF">
        <w:t xml:space="preserve">. </w:t>
      </w:r>
    </w:p>
    <w:p w14:paraId="6D0E5F82" w14:textId="73044B38" w:rsidR="00DF5063" w:rsidRDefault="00880EA4" w:rsidP="00DF5063">
      <w:r>
        <w:t xml:space="preserve">NDS members have expressed some concern that if the </w:t>
      </w:r>
      <w:r w:rsidR="00DF5063">
        <w:t xml:space="preserve">Centre </w:t>
      </w:r>
      <w:r w:rsidR="006F10DB">
        <w:t xml:space="preserve">does not adequately cater for the needs of all stakeholders </w:t>
      </w:r>
      <w:r w:rsidR="00DF5063">
        <w:t>it risk</w:t>
      </w:r>
      <w:r w:rsidR="00B65868">
        <w:t>s</w:t>
      </w:r>
      <w:r w:rsidR="00DF5063">
        <w:t xml:space="preserve"> becoming redundant</w:t>
      </w:r>
      <w:r w:rsidR="00B65868">
        <w:t xml:space="preserve"> or </w:t>
      </w:r>
      <w:r w:rsidR="00B64C21">
        <w:t xml:space="preserve">may prevent the </w:t>
      </w:r>
      <w:r w:rsidR="00DF5063">
        <w:t xml:space="preserve">sharing </w:t>
      </w:r>
      <w:r w:rsidR="00B64C21">
        <w:t xml:space="preserve">of important </w:t>
      </w:r>
      <w:r w:rsidR="00DF5063">
        <w:t>information</w:t>
      </w:r>
      <w:r w:rsidR="00BE3213">
        <w:t xml:space="preserve">, harming its original intent. </w:t>
      </w:r>
    </w:p>
    <w:p w14:paraId="27083EE9" w14:textId="3FEB5403" w:rsidR="00AD21DD" w:rsidRDefault="007B0177" w:rsidP="00B51A21">
      <w:pPr>
        <w:spacing w:after="120"/>
      </w:pPr>
      <w:r>
        <w:t>T</w:t>
      </w:r>
      <w:r w:rsidR="00DF5063">
        <w:t>he Centre</w:t>
      </w:r>
      <w:r>
        <w:t xml:space="preserve"> must be </w:t>
      </w:r>
      <w:r w:rsidR="00DF5063">
        <w:t xml:space="preserve">based on inclusivity, transparency </w:t>
      </w:r>
      <w:r>
        <w:t xml:space="preserve">accessibility </w:t>
      </w:r>
      <w:r w:rsidR="00DF5063">
        <w:t>and trust. It must be open to all</w:t>
      </w:r>
      <w:r w:rsidR="00D21256">
        <w:t>,</w:t>
      </w:r>
      <w:r w:rsidR="00DF5063">
        <w:t xml:space="preserve"> regardless of their purpose. T</w:t>
      </w:r>
      <w:r w:rsidR="00656733">
        <w:t xml:space="preserve">he following should be ruled out: </w:t>
      </w:r>
    </w:p>
    <w:p w14:paraId="159D76D6" w14:textId="7A6D41B7" w:rsidR="00B51A21" w:rsidRDefault="00D356FA" w:rsidP="00B51A21">
      <w:pPr>
        <w:pStyle w:val="ListParagraph"/>
        <w:numPr>
          <w:ilvl w:val="0"/>
          <w:numId w:val="37"/>
        </w:numPr>
        <w:spacing w:after="120" w:line="360" w:lineRule="auto"/>
      </w:pPr>
      <w:r>
        <w:t>A p</w:t>
      </w:r>
      <w:r w:rsidR="00B51A21">
        <w:t xml:space="preserve">oorly defined </w:t>
      </w:r>
      <w:r>
        <w:t xml:space="preserve">or unduly complex </w:t>
      </w:r>
      <w:r w:rsidR="00B51A21">
        <w:t>mission for the Centre</w:t>
      </w:r>
    </w:p>
    <w:p w14:paraId="22EC5FA7" w14:textId="32474CC5" w:rsidR="00B51A21" w:rsidRDefault="00784BC2" w:rsidP="00B51A21">
      <w:pPr>
        <w:pStyle w:val="ListParagraph"/>
        <w:numPr>
          <w:ilvl w:val="0"/>
          <w:numId w:val="37"/>
        </w:numPr>
        <w:spacing w:after="120" w:line="360" w:lineRule="auto"/>
      </w:pPr>
      <w:r>
        <w:t>A</w:t>
      </w:r>
      <w:r w:rsidR="001161DE">
        <w:t xml:space="preserve">n unwieldy </w:t>
      </w:r>
      <w:r>
        <w:t xml:space="preserve">or potentially compromised </w:t>
      </w:r>
      <w:r w:rsidR="00B51A21">
        <w:t>governance structure</w:t>
      </w:r>
    </w:p>
    <w:p w14:paraId="611E55CB" w14:textId="55C36E18" w:rsidR="00B51A21" w:rsidRDefault="00784BC2" w:rsidP="00B51A21">
      <w:pPr>
        <w:pStyle w:val="ListParagraph"/>
        <w:numPr>
          <w:ilvl w:val="0"/>
          <w:numId w:val="37"/>
        </w:numPr>
        <w:spacing w:after="120" w:line="360" w:lineRule="auto"/>
      </w:pPr>
      <w:r>
        <w:t>A</w:t>
      </w:r>
      <w:r w:rsidR="001161DE">
        <w:t xml:space="preserve">n inability to clearly </w:t>
      </w:r>
      <w:r w:rsidR="00B51A21">
        <w:t xml:space="preserve">articulate </w:t>
      </w:r>
      <w:r w:rsidR="001161DE">
        <w:t xml:space="preserve">aims, purpose </w:t>
      </w:r>
      <w:r w:rsidR="00B51A21">
        <w:t xml:space="preserve">measures and </w:t>
      </w:r>
      <w:r w:rsidR="003B0454">
        <w:t xml:space="preserve">intended </w:t>
      </w:r>
      <w:r w:rsidR="00B51A21">
        <w:t>impacts</w:t>
      </w:r>
    </w:p>
    <w:p w14:paraId="71FDBEE1" w14:textId="45E83546" w:rsidR="00B51A21" w:rsidRDefault="003B0454" w:rsidP="00B51A21">
      <w:pPr>
        <w:pStyle w:val="ListParagraph"/>
        <w:numPr>
          <w:ilvl w:val="0"/>
          <w:numId w:val="37"/>
        </w:numPr>
        <w:spacing w:after="120" w:line="360" w:lineRule="auto"/>
      </w:pPr>
      <w:r>
        <w:t>Inability to connect with</w:t>
      </w:r>
      <w:r w:rsidR="00AB4131">
        <w:t xml:space="preserve"> or influence </w:t>
      </w:r>
      <w:r w:rsidR="00B51A21">
        <w:t>decision makers at the government level</w:t>
      </w:r>
    </w:p>
    <w:p w14:paraId="44FA373E" w14:textId="40842113" w:rsidR="00AB4131" w:rsidRPr="00AD21DD" w:rsidRDefault="00AB4131" w:rsidP="00B51A21">
      <w:pPr>
        <w:pStyle w:val="ListParagraph"/>
        <w:numPr>
          <w:ilvl w:val="0"/>
          <w:numId w:val="37"/>
        </w:numPr>
        <w:spacing w:after="120" w:line="360" w:lineRule="auto"/>
      </w:pPr>
      <w:r>
        <w:t xml:space="preserve">Perceived </w:t>
      </w:r>
      <w:r w:rsidR="002D1C7F">
        <w:t xml:space="preserve">undue </w:t>
      </w:r>
      <w:r>
        <w:t>prioritisation of a stakeholder o</w:t>
      </w:r>
      <w:r w:rsidR="007E0282">
        <w:t>r</w:t>
      </w:r>
      <w:r>
        <w:t xml:space="preserve"> stakeholders</w:t>
      </w:r>
    </w:p>
    <w:p w14:paraId="0C4089B8" w14:textId="6FC06A75" w:rsidR="67F00D6D" w:rsidRPr="006A5FE3" w:rsidRDefault="005869FD" w:rsidP="006A5FE3">
      <w:pPr>
        <w:pStyle w:val="Heading1"/>
        <w:numPr>
          <w:ilvl w:val="0"/>
          <w:numId w:val="44"/>
        </w:numPr>
        <w:ind w:left="284"/>
      </w:pPr>
      <w:r w:rsidRPr="006A5FE3">
        <w:t>What are the next steps towards implementation?</w:t>
      </w:r>
    </w:p>
    <w:p w14:paraId="265CD88D" w14:textId="66BBAF0B" w:rsidR="008C5CF2" w:rsidRPr="00326F7C" w:rsidRDefault="008C5CF2" w:rsidP="008C5CF2">
      <w:pPr>
        <w:rPr>
          <w:b/>
          <w:bCs/>
        </w:rPr>
      </w:pPr>
      <w:r w:rsidRPr="00326F7C">
        <w:rPr>
          <w:b/>
          <w:bCs/>
        </w:rPr>
        <w:t>Where could a Centre be best placed?</w:t>
      </w:r>
    </w:p>
    <w:p w14:paraId="52EC6127" w14:textId="6F286811" w:rsidR="008C5CF2" w:rsidRDefault="005C5A79" w:rsidP="008C5CF2">
      <w:r>
        <w:t xml:space="preserve">NDS members </w:t>
      </w:r>
      <w:r w:rsidR="006B002A">
        <w:t xml:space="preserve">recommended that the </w:t>
      </w:r>
      <w:r w:rsidR="008C5CF2">
        <w:t xml:space="preserve">Centre </w:t>
      </w:r>
      <w:r w:rsidR="006B002A">
        <w:t xml:space="preserve">be established </w:t>
      </w:r>
      <w:r w:rsidR="008C5CF2">
        <w:t>as a stand-alone entity</w:t>
      </w:r>
      <w:r w:rsidR="006B002A">
        <w:t xml:space="preserve">, </w:t>
      </w:r>
      <w:r w:rsidR="00966431">
        <w:t>to</w:t>
      </w:r>
      <w:r w:rsidR="006B002A">
        <w:t xml:space="preserve"> </w:t>
      </w:r>
      <w:r w:rsidR="008C5CF2">
        <w:t xml:space="preserve">provide sufficient independence </w:t>
      </w:r>
      <w:r w:rsidR="00247053">
        <w:t xml:space="preserve">and prevent attempts by stakeholders to exert </w:t>
      </w:r>
      <w:r w:rsidR="00816133">
        <w:t xml:space="preserve">undue </w:t>
      </w:r>
      <w:r w:rsidR="008C5CF2">
        <w:t>influence</w:t>
      </w:r>
      <w:r w:rsidR="00247053">
        <w:t xml:space="preserve"> </w:t>
      </w:r>
      <w:r w:rsidR="00816133">
        <w:t xml:space="preserve">that would compromise its role. </w:t>
      </w:r>
      <w:r w:rsidR="00A775F6">
        <w:t xml:space="preserve">Consequently, NDS recommends that the Centre should not be placed within a government agency, as this would be seen to compromise its independence. </w:t>
      </w:r>
    </w:p>
    <w:p w14:paraId="24F6AA08" w14:textId="0F161F48" w:rsidR="00B444A1" w:rsidRDefault="00B444A1" w:rsidP="008C5CF2">
      <w:r>
        <w:t>The Centre should have a highly visible online presence and be</w:t>
      </w:r>
      <w:r w:rsidR="00E63C26">
        <w:t xml:space="preserve"> prominently linked from the </w:t>
      </w:r>
      <w:proofErr w:type="spellStart"/>
      <w:r w:rsidR="00E63C26">
        <w:t>Jobaccess</w:t>
      </w:r>
      <w:proofErr w:type="spellEnd"/>
      <w:r w:rsidR="00E63C26">
        <w:t>, DSS</w:t>
      </w:r>
      <w:r w:rsidR="00473B79">
        <w:t>,</w:t>
      </w:r>
      <w:r w:rsidR="00E63C26">
        <w:t xml:space="preserve"> Workforce Australia</w:t>
      </w:r>
      <w:r w:rsidR="00473B79">
        <w:t xml:space="preserve"> and services Australia websites. It should also have a prominent social media presence and a distinctive easily identifiable brandmark. </w:t>
      </w:r>
      <w:r w:rsidR="00E63C26">
        <w:t xml:space="preserve"> </w:t>
      </w:r>
      <w:r>
        <w:t xml:space="preserve"> </w:t>
      </w:r>
    </w:p>
    <w:p w14:paraId="0157DFE6" w14:textId="16870B7B" w:rsidR="008C5CF2" w:rsidRPr="005828D4" w:rsidRDefault="008C5CF2" w:rsidP="008C5CF2">
      <w:pPr>
        <w:rPr>
          <w:b/>
          <w:bCs/>
        </w:rPr>
      </w:pPr>
      <w:r w:rsidRPr="00326F7C">
        <w:rPr>
          <w:b/>
          <w:bCs/>
        </w:rPr>
        <w:t>Are there any other implementation issues that should be considered?</w:t>
      </w:r>
    </w:p>
    <w:p w14:paraId="23351D40" w14:textId="4A2C909F" w:rsidR="008C5CF2" w:rsidRDefault="00921AFE" w:rsidP="00CA7EFF">
      <w:pPr>
        <w:spacing w:after="120"/>
      </w:pPr>
      <w:r>
        <w:t xml:space="preserve">NDS members identified several key issues to be managed during the </w:t>
      </w:r>
      <w:r w:rsidR="008C5CF2">
        <w:t xml:space="preserve">implementation </w:t>
      </w:r>
      <w:r w:rsidR="00711252">
        <w:t>of the Centr</w:t>
      </w:r>
      <w:r w:rsidR="00753963">
        <w:t>e</w:t>
      </w:r>
      <w:r w:rsidR="008C5CF2">
        <w:t>:</w:t>
      </w:r>
    </w:p>
    <w:p w14:paraId="3FECFD26" w14:textId="0479CB32" w:rsidR="008C5CF2" w:rsidRDefault="00711252" w:rsidP="00CA7EFF">
      <w:pPr>
        <w:pStyle w:val="ListParagraph"/>
        <w:numPr>
          <w:ilvl w:val="0"/>
          <w:numId w:val="38"/>
        </w:numPr>
        <w:spacing w:after="120" w:line="360" w:lineRule="auto"/>
      </w:pPr>
      <w:r>
        <w:lastRenderedPageBreak/>
        <w:t xml:space="preserve">It must be sufficiently </w:t>
      </w:r>
      <w:r w:rsidR="008C5CF2">
        <w:t>resourc</w:t>
      </w:r>
      <w:r>
        <w:t xml:space="preserve">ed </w:t>
      </w:r>
      <w:r w:rsidR="0017218C">
        <w:t>to</w:t>
      </w:r>
      <w:r>
        <w:t xml:space="preserve"> achieve its aims</w:t>
      </w:r>
      <w:r w:rsidR="0017218C">
        <w:t xml:space="preserve">. The example of the </w:t>
      </w:r>
      <w:r w:rsidR="008C5CF2">
        <w:t>Analysis and Policy Observatory (APO)</w:t>
      </w:r>
      <w:r w:rsidR="0017218C">
        <w:t xml:space="preserve"> is instructive</w:t>
      </w:r>
      <w:r w:rsidR="008C5CF2">
        <w:t xml:space="preserve">. Long term funding and </w:t>
      </w:r>
      <w:r w:rsidR="0017218C">
        <w:t>ongoing</w:t>
      </w:r>
      <w:r w:rsidR="008C5CF2">
        <w:t xml:space="preserve"> support </w:t>
      </w:r>
      <w:r w:rsidR="0017218C">
        <w:t>will be</w:t>
      </w:r>
      <w:r w:rsidR="008C5CF2">
        <w:t xml:space="preserve"> critical.</w:t>
      </w:r>
    </w:p>
    <w:p w14:paraId="6CC03370" w14:textId="11E8403B" w:rsidR="008C5CF2" w:rsidRDefault="008C5CF2" w:rsidP="00CA7EFF">
      <w:pPr>
        <w:pStyle w:val="ListParagraph"/>
        <w:numPr>
          <w:ilvl w:val="0"/>
          <w:numId w:val="38"/>
        </w:numPr>
        <w:spacing w:after="120" w:line="360" w:lineRule="auto"/>
      </w:pPr>
      <w:r>
        <w:t xml:space="preserve">Accessibility – the Centre must be completely accessible by all stakeholders and not </w:t>
      </w:r>
      <w:r w:rsidR="00FD7589">
        <w:t>regarded as the preserve of service providers or</w:t>
      </w:r>
      <w:r>
        <w:t xml:space="preserve"> academics</w:t>
      </w:r>
      <w:r w:rsidR="00FD7589">
        <w:t>, for example.</w:t>
      </w:r>
      <w:r>
        <w:t xml:space="preserve"> It must be seen as producing and developing </w:t>
      </w:r>
      <w:r w:rsidR="000C48F8">
        <w:t>accessible</w:t>
      </w:r>
      <w:r w:rsidR="00753963">
        <w:t xml:space="preserve"> and clearly </w:t>
      </w:r>
      <w:r>
        <w:t>benefi</w:t>
      </w:r>
      <w:r w:rsidR="00753963">
        <w:t>cial material</w:t>
      </w:r>
      <w:r>
        <w:t xml:space="preserve"> for all stakeholders.</w:t>
      </w:r>
    </w:p>
    <w:p w14:paraId="34DE1F68" w14:textId="001F97C2" w:rsidR="008C5CF2" w:rsidRPr="00326F7C" w:rsidRDefault="008C5CF2" w:rsidP="00CA7EFF">
      <w:pPr>
        <w:spacing w:after="120"/>
        <w:rPr>
          <w:b/>
          <w:bCs/>
        </w:rPr>
      </w:pPr>
      <w:r w:rsidRPr="00326F7C">
        <w:rPr>
          <w:b/>
          <w:bCs/>
        </w:rPr>
        <w:t>What elements of the proposed role of the Centre or its functions should be prioritised?</w:t>
      </w:r>
    </w:p>
    <w:p w14:paraId="05F50EB7" w14:textId="77777777" w:rsidR="006C3DBA" w:rsidRDefault="00753963" w:rsidP="008C5CF2">
      <w:r>
        <w:t xml:space="preserve">NDS would </w:t>
      </w:r>
      <w:r w:rsidR="00A102D4">
        <w:t xml:space="preserve">advocate that the </w:t>
      </w:r>
      <w:r>
        <w:t>recommend</w:t>
      </w:r>
      <w:r w:rsidR="00A102D4">
        <w:t xml:space="preserve">ations of the Disability Royal Commission </w:t>
      </w:r>
      <w:r w:rsidR="00645404">
        <w:t xml:space="preserve">(DRC) </w:t>
      </w:r>
      <w:r w:rsidR="00A102D4">
        <w:t xml:space="preserve">regarding </w:t>
      </w:r>
      <w:r w:rsidR="005C0E61">
        <w:t>the provision of information about the disability service</w:t>
      </w:r>
      <w:r w:rsidR="00645404">
        <w:t>s</w:t>
      </w:r>
      <w:r w:rsidR="005C0E61">
        <w:t xml:space="preserve"> ecosystem </w:t>
      </w:r>
      <w:r w:rsidR="00645404">
        <w:t xml:space="preserve">should be examined and implemented through the Centre as a priority. For example, the DRC made recommendations </w:t>
      </w:r>
      <w:r w:rsidR="00055C25">
        <w:t xml:space="preserve">in its </w:t>
      </w:r>
      <w:hyperlink r:id="rId12" w:history="1">
        <w:r w:rsidR="00055C25" w:rsidRPr="003C6E94">
          <w:rPr>
            <w:rStyle w:val="Hyperlink"/>
          </w:rPr>
          <w:t>Volume 7</w:t>
        </w:r>
        <w:r w:rsidR="00A826D5" w:rsidRPr="003C6E94">
          <w:rPr>
            <w:rStyle w:val="Hyperlink"/>
          </w:rPr>
          <w:t>:</w:t>
        </w:r>
        <w:r w:rsidR="00055C25" w:rsidRPr="003C6E94">
          <w:rPr>
            <w:rStyle w:val="Hyperlink"/>
          </w:rPr>
          <w:t xml:space="preserve"> Inclusive education, employment and housing</w:t>
        </w:r>
      </w:hyperlink>
      <w:r w:rsidR="00A826D5">
        <w:t xml:space="preserve">, </w:t>
      </w:r>
      <w:r w:rsidR="00645404">
        <w:t>relating to</w:t>
      </w:r>
      <w:r>
        <w:t xml:space="preserve"> </w:t>
      </w:r>
      <w:r w:rsidR="00645404" w:rsidRPr="00645404">
        <w:t>access to information on the DSP. NDS has previously stated that information on wages, DSP and other welfare benefits has been unclear or difficult to access. This has created disincentives to employment, higher wages and increased work hours for people with disability</w:t>
      </w:r>
      <w:r w:rsidR="0054741C">
        <w:t xml:space="preserve">. Prioritisation of the DRC </w:t>
      </w:r>
      <w:r w:rsidR="00F77B7B">
        <w:t xml:space="preserve">recommendations </w:t>
      </w:r>
      <w:r w:rsidR="006C7C5A">
        <w:t>in Volume 7</w:t>
      </w:r>
      <w:r w:rsidR="00382109">
        <w:t>,</w:t>
      </w:r>
      <w:r w:rsidR="006C7C5A">
        <w:t xml:space="preserve"> </w:t>
      </w:r>
      <w:r w:rsidR="00F77B7B">
        <w:t>where relevant and practical</w:t>
      </w:r>
      <w:r w:rsidR="00382109">
        <w:t>,</w:t>
      </w:r>
      <w:r w:rsidR="00F77B7B">
        <w:t xml:space="preserve"> is essential</w:t>
      </w:r>
      <w:r w:rsidR="00382109">
        <w:t xml:space="preserve"> and can be logically addressed through the Centre</w:t>
      </w:r>
      <w:r w:rsidR="00F77B7B">
        <w:t xml:space="preserve">. </w:t>
      </w:r>
    </w:p>
    <w:p w14:paraId="3D903974" w14:textId="4278A688" w:rsidR="0054741C" w:rsidRDefault="006C3DBA" w:rsidP="008C5CF2">
      <w:r>
        <w:t>Other elements of the role of the Centre</w:t>
      </w:r>
      <w:r w:rsidR="0054741C">
        <w:t xml:space="preserve"> </w:t>
      </w:r>
      <w:r>
        <w:t xml:space="preserve">that should be prioritised </w:t>
      </w:r>
      <w:r w:rsidR="00A729E5">
        <w:t>are identified below</w:t>
      </w:r>
      <w:r w:rsidR="00C8397C">
        <w:t xml:space="preserve">. </w:t>
      </w:r>
    </w:p>
    <w:p w14:paraId="228E47C4" w14:textId="29999636" w:rsidR="00E1259F" w:rsidRDefault="00E67083" w:rsidP="008C5CF2">
      <w:r>
        <w:t xml:space="preserve">Developing a </w:t>
      </w:r>
      <w:r w:rsidR="00C12864">
        <w:t xml:space="preserve">catalogue of evidence based good practice models </w:t>
      </w:r>
      <w:r w:rsidR="00504451">
        <w:t xml:space="preserve">and case studies </w:t>
      </w:r>
      <w:r w:rsidR="00C12864">
        <w:t>that will assist in the transformation of the Supported Employment Sector</w:t>
      </w:r>
      <w:r w:rsidR="00504451">
        <w:t xml:space="preserve">, including </w:t>
      </w:r>
      <w:r w:rsidR="00D329E1">
        <w:t>the placement of employees and jobseekers with disability in mainstream settings</w:t>
      </w:r>
      <w:r w:rsidR="00C8397C">
        <w:t>.</w:t>
      </w:r>
    </w:p>
    <w:p w14:paraId="4D760149" w14:textId="57231AAC" w:rsidR="00E67083" w:rsidRDefault="00E1259F" w:rsidP="008C5CF2">
      <w:r>
        <w:t>Consolidation of relevant data</w:t>
      </w:r>
      <w:r w:rsidR="00C8397C">
        <w:t xml:space="preserve"> and development of a </w:t>
      </w:r>
      <w:r w:rsidR="000518CC">
        <w:t xml:space="preserve">comprehensive plan to expand the collection and publication of </w:t>
      </w:r>
      <w:r w:rsidR="001802A7">
        <w:t>data on the employment of people with disability, including the</w:t>
      </w:r>
      <w:r w:rsidR="0029358B">
        <w:t>ir</w:t>
      </w:r>
      <w:r w:rsidR="001802A7">
        <w:t xml:space="preserve"> </w:t>
      </w:r>
      <w:r w:rsidR="0029358B">
        <w:t xml:space="preserve">employment </w:t>
      </w:r>
      <w:r w:rsidR="001802A7">
        <w:t>settings</w:t>
      </w:r>
      <w:r w:rsidR="0029358B">
        <w:t>,</w:t>
      </w:r>
      <w:r w:rsidR="001802A7">
        <w:t xml:space="preserve"> their </w:t>
      </w:r>
      <w:r w:rsidR="0029358B">
        <w:t xml:space="preserve">eligibility for </w:t>
      </w:r>
      <w:r w:rsidR="001802A7">
        <w:t>NDIS and</w:t>
      </w:r>
      <w:r w:rsidR="0029358B">
        <w:t>/</w:t>
      </w:r>
      <w:r w:rsidR="001802A7">
        <w:t>or DES,</w:t>
      </w:r>
      <w:r w:rsidR="0029358B">
        <w:t xml:space="preserve"> their wage rates</w:t>
      </w:r>
      <w:r w:rsidR="003922F4">
        <w:t xml:space="preserve"> (and </w:t>
      </w:r>
      <w:r w:rsidR="00B87D7F">
        <w:t>the numbers receiving pro rata wages</w:t>
      </w:r>
      <w:r w:rsidR="003922F4">
        <w:t>)</w:t>
      </w:r>
      <w:r w:rsidR="00632B91">
        <w:t xml:space="preserve"> and their</w:t>
      </w:r>
      <w:r w:rsidR="00B87D7F">
        <w:t xml:space="preserve"> hours worked</w:t>
      </w:r>
      <w:r w:rsidR="00632B91">
        <w:t xml:space="preserve">. This dataset should build on the existing </w:t>
      </w:r>
      <w:r w:rsidR="00D81DA5">
        <w:t xml:space="preserve">DES </w:t>
      </w:r>
      <w:r w:rsidR="00632B91">
        <w:t xml:space="preserve">dataset, but also include </w:t>
      </w:r>
      <w:r w:rsidR="00D81DA5">
        <w:t>information collected from NDIS participants</w:t>
      </w:r>
      <w:r w:rsidR="00A729E5">
        <w:t>, many of whom may be in work, but ineligible for DES</w:t>
      </w:r>
      <w:r w:rsidR="00D81DA5">
        <w:t xml:space="preserve">. </w:t>
      </w:r>
      <w:r w:rsidR="00632B91">
        <w:t>Since the Disability Services Census ceased being collected, such comprehensive data has been entirely absent</w:t>
      </w:r>
      <w:r w:rsidR="00607237">
        <w:t xml:space="preserve"> and prevents any kind of benchmarking of data to </w:t>
      </w:r>
      <w:r w:rsidR="00F368F1">
        <w:t xml:space="preserve">enable the </w:t>
      </w:r>
      <w:r w:rsidR="00607237">
        <w:t>track</w:t>
      </w:r>
      <w:r w:rsidR="00F368F1">
        <w:t>ing of</w:t>
      </w:r>
      <w:r w:rsidR="00607237">
        <w:t xml:space="preserve"> progress in </w:t>
      </w:r>
      <w:r w:rsidR="00F368F1">
        <w:t xml:space="preserve">the </w:t>
      </w:r>
      <w:r w:rsidR="00607237">
        <w:t>various employment related indicators</w:t>
      </w:r>
      <w:r w:rsidR="00F368F1">
        <w:t xml:space="preserve"> above</w:t>
      </w:r>
      <w:r w:rsidR="00632B91">
        <w:t xml:space="preserve">.  </w:t>
      </w:r>
      <w:r w:rsidR="001802A7">
        <w:t xml:space="preserve">  </w:t>
      </w:r>
      <w:r w:rsidR="00504451">
        <w:t xml:space="preserve"> </w:t>
      </w:r>
    </w:p>
    <w:p w14:paraId="46DD5A67" w14:textId="68887A78" w:rsidR="0054741C" w:rsidRDefault="00FB240D" w:rsidP="006163F8">
      <w:pPr>
        <w:spacing w:after="120"/>
      </w:pPr>
      <w:r>
        <w:lastRenderedPageBreak/>
        <w:t xml:space="preserve">Establishing </w:t>
      </w:r>
      <w:r w:rsidR="00AB020D">
        <w:t xml:space="preserve">networks and resources that will encourage and enable collaborative competition. NDS has heavily emphasised this concept </w:t>
      </w:r>
      <w:r w:rsidR="00A77586">
        <w:t xml:space="preserve">when working with our members who provide employment services. </w:t>
      </w:r>
      <w:r w:rsidR="00067EAE">
        <w:t xml:space="preserve">The Communities of Practice model has </w:t>
      </w:r>
      <w:r w:rsidR="0027685D">
        <w:t>demonstrated</w:t>
      </w:r>
      <w:r w:rsidR="002D5472">
        <w:t xml:space="preserve"> great potential for NDS members, highlighting </w:t>
      </w:r>
      <w:r w:rsidR="00757DAF">
        <w:t xml:space="preserve">for example, </w:t>
      </w:r>
      <w:r w:rsidR="002D5472">
        <w:t>good practice</w:t>
      </w:r>
      <w:r w:rsidR="00757DAF">
        <w:t xml:space="preserve"> in employment support</w:t>
      </w:r>
      <w:r w:rsidR="002D5472">
        <w:t xml:space="preserve">, </w:t>
      </w:r>
      <w:r w:rsidR="00391493">
        <w:t>innovati</w:t>
      </w:r>
      <w:r w:rsidR="00757DAF">
        <w:t xml:space="preserve">ve business models </w:t>
      </w:r>
      <w:r w:rsidR="00391493">
        <w:t xml:space="preserve">and </w:t>
      </w:r>
      <w:r w:rsidR="00980A20">
        <w:t xml:space="preserve">enhancing knowledge of </w:t>
      </w:r>
      <w:r w:rsidR="006F357A">
        <w:t>signific</w:t>
      </w:r>
      <w:r w:rsidR="00391493">
        <w:t xml:space="preserve">ant </w:t>
      </w:r>
      <w:r w:rsidR="00980A20">
        <w:t xml:space="preserve">Industrial Relations reforms.  </w:t>
      </w:r>
    </w:p>
    <w:p w14:paraId="0AE18E23" w14:textId="39249D3A" w:rsidR="009F0196" w:rsidRPr="00147B17" w:rsidRDefault="4272EB64" w:rsidP="006A5FE3">
      <w:pPr>
        <w:pStyle w:val="Heading1"/>
        <w:numPr>
          <w:ilvl w:val="0"/>
          <w:numId w:val="44"/>
        </w:numPr>
        <w:ind w:left="284"/>
      </w:pPr>
      <w:bookmarkStart w:id="4" w:name="_Toc148389221"/>
      <w:r w:rsidRPr="00147B17">
        <w:t>Contact</w:t>
      </w:r>
      <w:bookmarkEnd w:id="4"/>
    </w:p>
    <w:p w14:paraId="12A8C588" w14:textId="6F58FA77" w:rsidR="4272EB64" w:rsidRDefault="00166E40" w:rsidP="006163F8">
      <w:pPr>
        <w:pStyle w:val="BodyText"/>
        <w:spacing w:after="120"/>
      </w:pPr>
      <w:r>
        <w:t>Laurie Leigh</w:t>
      </w:r>
    </w:p>
    <w:p w14:paraId="25A726BB" w14:textId="6B2A9261" w:rsidR="4272EB64" w:rsidRDefault="00166E40" w:rsidP="006163F8">
      <w:pPr>
        <w:pStyle w:val="BodyText"/>
        <w:spacing w:after="120"/>
      </w:pPr>
      <w:r>
        <w:t>CEO</w:t>
      </w:r>
    </w:p>
    <w:p w14:paraId="22A75EEA" w14:textId="4E36556C" w:rsidR="4CB3A23B" w:rsidRDefault="4CB3A23B" w:rsidP="006163F8">
      <w:pPr>
        <w:pStyle w:val="BodyText"/>
        <w:spacing w:after="120"/>
      </w:pPr>
      <w:r>
        <w:t>National Disability Services</w:t>
      </w:r>
    </w:p>
    <w:p w14:paraId="15D6A6DA" w14:textId="6EA7267B" w:rsidR="4272EB64" w:rsidRDefault="00000000" w:rsidP="006163F8">
      <w:pPr>
        <w:pStyle w:val="BodyText"/>
        <w:spacing w:after="120"/>
      </w:pPr>
      <w:hyperlink r:id="rId13" w:history="1">
        <w:r w:rsidR="006163F8" w:rsidRPr="00371A77">
          <w:rPr>
            <w:rStyle w:val="Hyperlink"/>
          </w:rPr>
          <w:t>laurie.leigh@nds.org.au</w:t>
        </w:r>
      </w:hyperlink>
      <w:r w:rsidR="006163F8">
        <w:t xml:space="preserve"> </w:t>
      </w:r>
    </w:p>
    <w:p w14:paraId="1C126521" w14:textId="0307A0FA" w:rsidR="4272EB64" w:rsidRDefault="00000000" w:rsidP="006163F8">
      <w:pPr>
        <w:pStyle w:val="BodyText"/>
        <w:spacing w:after="120"/>
      </w:pPr>
      <w:hyperlink r:id="rId14">
        <w:r w:rsidR="4272EB64" w:rsidRPr="6DE80D34">
          <w:rPr>
            <w:rStyle w:val="Hyperlink"/>
          </w:rPr>
          <w:t>NDS website</w:t>
        </w:r>
      </w:hyperlink>
    </w:p>
    <w:p w14:paraId="7956D24C" w14:textId="2A9CD01F" w:rsidR="6AA6430A" w:rsidRDefault="004E24F5" w:rsidP="006163F8">
      <w:pPr>
        <w:spacing w:after="120"/>
      </w:pPr>
      <w:r>
        <w:t>November</w:t>
      </w:r>
      <w:r w:rsidR="6AA6430A">
        <w:t xml:space="preserve"> 2023</w:t>
      </w:r>
    </w:p>
    <w:sectPr w:rsidR="6AA6430A" w:rsidSect="00C25D37">
      <w:footerReference w:type="default" r:id="rId15"/>
      <w:pgSz w:w="11906" w:h="16838"/>
      <w:pgMar w:top="1152" w:right="1152"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F912D" w14:textId="77777777" w:rsidR="00927965" w:rsidRDefault="00927965" w:rsidP="00D368C0">
      <w:pPr>
        <w:spacing w:before="0"/>
      </w:pPr>
      <w:r>
        <w:separator/>
      </w:r>
    </w:p>
  </w:endnote>
  <w:endnote w:type="continuationSeparator" w:id="0">
    <w:p w14:paraId="61E8B7BF" w14:textId="77777777" w:rsidR="00927965" w:rsidRDefault="00927965" w:rsidP="00D368C0">
      <w:pPr>
        <w:spacing w:before="0"/>
      </w:pPr>
      <w:r>
        <w:continuationSeparator/>
      </w:r>
    </w:p>
  </w:endnote>
  <w:endnote w:type="continuationNotice" w:id="1">
    <w:p w14:paraId="59E93B7D" w14:textId="77777777" w:rsidR="00927965" w:rsidRDefault="0092796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095994"/>
      <w:docPartObj>
        <w:docPartGallery w:val="Page Numbers (Bottom of Page)"/>
        <w:docPartUnique/>
      </w:docPartObj>
    </w:sdtPr>
    <w:sdtEndPr>
      <w:rPr>
        <w:noProof/>
      </w:rPr>
    </w:sdtEndPr>
    <w:sdtContent>
      <w:p w14:paraId="11650842" w14:textId="2CD72ACF" w:rsidR="008F48EE" w:rsidRDefault="008F48EE" w:rsidP="008F48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80B421" w14:textId="67DACB58" w:rsidR="33FAC2E0" w:rsidRDefault="33FAC2E0" w:rsidP="197C1A2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B6172" w14:textId="77777777" w:rsidR="00927965" w:rsidRDefault="00927965" w:rsidP="00D368C0">
      <w:pPr>
        <w:spacing w:before="0"/>
      </w:pPr>
      <w:r>
        <w:separator/>
      </w:r>
    </w:p>
  </w:footnote>
  <w:footnote w:type="continuationSeparator" w:id="0">
    <w:p w14:paraId="256322C1" w14:textId="77777777" w:rsidR="00927965" w:rsidRDefault="00927965" w:rsidP="00D368C0">
      <w:pPr>
        <w:spacing w:before="0"/>
      </w:pPr>
      <w:r>
        <w:continuationSeparator/>
      </w:r>
    </w:p>
  </w:footnote>
  <w:footnote w:type="continuationNotice" w:id="1">
    <w:p w14:paraId="1252AA6F" w14:textId="77777777" w:rsidR="00927965" w:rsidRDefault="00927965">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1224"/>
    <w:multiLevelType w:val="hybridMultilevel"/>
    <w:tmpl w:val="57B63A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536787"/>
    <w:multiLevelType w:val="hybridMultilevel"/>
    <w:tmpl w:val="D67847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5570B24"/>
    <w:multiLevelType w:val="hybridMultilevel"/>
    <w:tmpl w:val="19182840"/>
    <w:lvl w:ilvl="0" w:tplc="B07612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6C4973"/>
    <w:multiLevelType w:val="hybridMultilevel"/>
    <w:tmpl w:val="29785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095282"/>
    <w:multiLevelType w:val="hybridMultilevel"/>
    <w:tmpl w:val="0FDA95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D507837"/>
    <w:multiLevelType w:val="hybridMultilevel"/>
    <w:tmpl w:val="628AA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DBE51E8"/>
    <w:multiLevelType w:val="hybridMultilevel"/>
    <w:tmpl w:val="EAEAAF3E"/>
    <w:lvl w:ilvl="0" w:tplc="4FF84868">
      <w:start w:val="1"/>
      <w:numFmt w:val="bullet"/>
      <w:lvlText w:val="•"/>
      <w:lvlJc w:val="left"/>
      <w:pPr>
        <w:tabs>
          <w:tab w:val="num" w:pos="720"/>
        </w:tabs>
        <w:ind w:left="720" w:hanging="360"/>
      </w:pPr>
      <w:rPr>
        <w:rFonts w:ascii="Arial" w:hAnsi="Arial" w:hint="default"/>
      </w:rPr>
    </w:lvl>
    <w:lvl w:ilvl="1" w:tplc="0D0CDB7E" w:tentative="1">
      <w:start w:val="1"/>
      <w:numFmt w:val="bullet"/>
      <w:lvlText w:val="•"/>
      <w:lvlJc w:val="left"/>
      <w:pPr>
        <w:tabs>
          <w:tab w:val="num" w:pos="1440"/>
        </w:tabs>
        <w:ind w:left="1440" w:hanging="360"/>
      </w:pPr>
      <w:rPr>
        <w:rFonts w:ascii="Arial" w:hAnsi="Arial" w:hint="default"/>
      </w:rPr>
    </w:lvl>
    <w:lvl w:ilvl="2" w:tplc="2A28BFCC" w:tentative="1">
      <w:start w:val="1"/>
      <w:numFmt w:val="bullet"/>
      <w:lvlText w:val="•"/>
      <w:lvlJc w:val="left"/>
      <w:pPr>
        <w:tabs>
          <w:tab w:val="num" w:pos="2160"/>
        </w:tabs>
        <w:ind w:left="2160" w:hanging="360"/>
      </w:pPr>
      <w:rPr>
        <w:rFonts w:ascii="Arial" w:hAnsi="Arial" w:hint="default"/>
      </w:rPr>
    </w:lvl>
    <w:lvl w:ilvl="3" w:tplc="92287FE8" w:tentative="1">
      <w:start w:val="1"/>
      <w:numFmt w:val="bullet"/>
      <w:lvlText w:val="•"/>
      <w:lvlJc w:val="left"/>
      <w:pPr>
        <w:tabs>
          <w:tab w:val="num" w:pos="2880"/>
        </w:tabs>
        <w:ind w:left="2880" w:hanging="360"/>
      </w:pPr>
      <w:rPr>
        <w:rFonts w:ascii="Arial" w:hAnsi="Arial" w:hint="default"/>
      </w:rPr>
    </w:lvl>
    <w:lvl w:ilvl="4" w:tplc="5CFEEB38" w:tentative="1">
      <w:start w:val="1"/>
      <w:numFmt w:val="bullet"/>
      <w:lvlText w:val="•"/>
      <w:lvlJc w:val="left"/>
      <w:pPr>
        <w:tabs>
          <w:tab w:val="num" w:pos="3600"/>
        </w:tabs>
        <w:ind w:left="3600" w:hanging="360"/>
      </w:pPr>
      <w:rPr>
        <w:rFonts w:ascii="Arial" w:hAnsi="Arial" w:hint="default"/>
      </w:rPr>
    </w:lvl>
    <w:lvl w:ilvl="5" w:tplc="5210C7E8" w:tentative="1">
      <w:start w:val="1"/>
      <w:numFmt w:val="bullet"/>
      <w:lvlText w:val="•"/>
      <w:lvlJc w:val="left"/>
      <w:pPr>
        <w:tabs>
          <w:tab w:val="num" w:pos="4320"/>
        </w:tabs>
        <w:ind w:left="4320" w:hanging="360"/>
      </w:pPr>
      <w:rPr>
        <w:rFonts w:ascii="Arial" w:hAnsi="Arial" w:hint="default"/>
      </w:rPr>
    </w:lvl>
    <w:lvl w:ilvl="6" w:tplc="9766AF32" w:tentative="1">
      <w:start w:val="1"/>
      <w:numFmt w:val="bullet"/>
      <w:lvlText w:val="•"/>
      <w:lvlJc w:val="left"/>
      <w:pPr>
        <w:tabs>
          <w:tab w:val="num" w:pos="5040"/>
        </w:tabs>
        <w:ind w:left="5040" w:hanging="360"/>
      </w:pPr>
      <w:rPr>
        <w:rFonts w:ascii="Arial" w:hAnsi="Arial" w:hint="default"/>
      </w:rPr>
    </w:lvl>
    <w:lvl w:ilvl="7" w:tplc="ACFCCB3A" w:tentative="1">
      <w:start w:val="1"/>
      <w:numFmt w:val="bullet"/>
      <w:lvlText w:val="•"/>
      <w:lvlJc w:val="left"/>
      <w:pPr>
        <w:tabs>
          <w:tab w:val="num" w:pos="5760"/>
        </w:tabs>
        <w:ind w:left="5760" w:hanging="360"/>
      </w:pPr>
      <w:rPr>
        <w:rFonts w:ascii="Arial" w:hAnsi="Arial" w:hint="default"/>
      </w:rPr>
    </w:lvl>
    <w:lvl w:ilvl="8" w:tplc="FAD6727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086746"/>
    <w:multiLevelType w:val="hybridMultilevel"/>
    <w:tmpl w:val="4C5E1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154026"/>
    <w:multiLevelType w:val="hybridMultilevel"/>
    <w:tmpl w:val="10EEC252"/>
    <w:lvl w:ilvl="0" w:tplc="824E4F42">
      <w:numFmt w:val="bullet"/>
      <w:lvlText w:val="•"/>
      <w:lvlJc w:val="left"/>
      <w:pPr>
        <w:ind w:left="3600" w:hanging="360"/>
      </w:pPr>
      <w:rPr>
        <w:rFonts w:ascii="Arial" w:hAnsi="Arial" w:cs="Arial" w:hint="default"/>
        <w:sz w:val="24"/>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0" w15:restartNumberingAfterBreak="0">
    <w:nsid w:val="1E38713C"/>
    <w:multiLevelType w:val="hybridMultilevel"/>
    <w:tmpl w:val="F5FEA3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E851C11"/>
    <w:multiLevelType w:val="hybridMultilevel"/>
    <w:tmpl w:val="D402D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A556B2"/>
    <w:multiLevelType w:val="hybridMultilevel"/>
    <w:tmpl w:val="69123D66"/>
    <w:lvl w:ilvl="0" w:tplc="E25A1352">
      <w:start w:val="1"/>
      <w:numFmt w:val="bullet"/>
      <w:lvlText w:val="•"/>
      <w:lvlJc w:val="left"/>
      <w:pPr>
        <w:tabs>
          <w:tab w:val="num" w:pos="720"/>
        </w:tabs>
        <w:ind w:left="720" w:hanging="360"/>
      </w:pPr>
      <w:rPr>
        <w:rFonts w:ascii="Arial" w:hAnsi="Arial" w:hint="default"/>
      </w:rPr>
    </w:lvl>
    <w:lvl w:ilvl="1" w:tplc="A71EAB6E">
      <w:start w:val="174"/>
      <w:numFmt w:val="bullet"/>
      <w:lvlText w:val="•"/>
      <w:lvlJc w:val="left"/>
      <w:pPr>
        <w:tabs>
          <w:tab w:val="num" w:pos="1440"/>
        </w:tabs>
        <w:ind w:left="1440" w:hanging="360"/>
      </w:pPr>
      <w:rPr>
        <w:rFonts w:ascii="Arial" w:hAnsi="Arial" w:hint="default"/>
      </w:rPr>
    </w:lvl>
    <w:lvl w:ilvl="2" w:tplc="1E6EBF62" w:tentative="1">
      <w:start w:val="1"/>
      <w:numFmt w:val="bullet"/>
      <w:lvlText w:val="•"/>
      <w:lvlJc w:val="left"/>
      <w:pPr>
        <w:tabs>
          <w:tab w:val="num" w:pos="2160"/>
        </w:tabs>
        <w:ind w:left="2160" w:hanging="360"/>
      </w:pPr>
      <w:rPr>
        <w:rFonts w:ascii="Arial" w:hAnsi="Arial" w:hint="default"/>
      </w:rPr>
    </w:lvl>
    <w:lvl w:ilvl="3" w:tplc="B7AE1564" w:tentative="1">
      <w:start w:val="1"/>
      <w:numFmt w:val="bullet"/>
      <w:lvlText w:val="•"/>
      <w:lvlJc w:val="left"/>
      <w:pPr>
        <w:tabs>
          <w:tab w:val="num" w:pos="2880"/>
        </w:tabs>
        <w:ind w:left="2880" w:hanging="360"/>
      </w:pPr>
      <w:rPr>
        <w:rFonts w:ascii="Arial" w:hAnsi="Arial" w:hint="default"/>
      </w:rPr>
    </w:lvl>
    <w:lvl w:ilvl="4" w:tplc="22187C58" w:tentative="1">
      <w:start w:val="1"/>
      <w:numFmt w:val="bullet"/>
      <w:lvlText w:val="•"/>
      <w:lvlJc w:val="left"/>
      <w:pPr>
        <w:tabs>
          <w:tab w:val="num" w:pos="3600"/>
        </w:tabs>
        <w:ind w:left="3600" w:hanging="360"/>
      </w:pPr>
      <w:rPr>
        <w:rFonts w:ascii="Arial" w:hAnsi="Arial" w:hint="default"/>
      </w:rPr>
    </w:lvl>
    <w:lvl w:ilvl="5" w:tplc="E050D796" w:tentative="1">
      <w:start w:val="1"/>
      <w:numFmt w:val="bullet"/>
      <w:lvlText w:val="•"/>
      <w:lvlJc w:val="left"/>
      <w:pPr>
        <w:tabs>
          <w:tab w:val="num" w:pos="4320"/>
        </w:tabs>
        <w:ind w:left="4320" w:hanging="360"/>
      </w:pPr>
      <w:rPr>
        <w:rFonts w:ascii="Arial" w:hAnsi="Arial" w:hint="default"/>
      </w:rPr>
    </w:lvl>
    <w:lvl w:ilvl="6" w:tplc="1C6E1028" w:tentative="1">
      <w:start w:val="1"/>
      <w:numFmt w:val="bullet"/>
      <w:lvlText w:val="•"/>
      <w:lvlJc w:val="left"/>
      <w:pPr>
        <w:tabs>
          <w:tab w:val="num" w:pos="5040"/>
        </w:tabs>
        <w:ind w:left="5040" w:hanging="360"/>
      </w:pPr>
      <w:rPr>
        <w:rFonts w:ascii="Arial" w:hAnsi="Arial" w:hint="default"/>
      </w:rPr>
    </w:lvl>
    <w:lvl w:ilvl="7" w:tplc="33A24EA4" w:tentative="1">
      <w:start w:val="1"/>
      <w:numFmt w:val="bullet"/>
      <w:lvlText w:val="•"/>
      <w:lvlJc w:val="left"/>
      <w:pPr>
        <w:tabs>
          <w:tab w:val="num" w:pos="5760"/>
        </w:tabs>
        <w:ind w:left="5760" w:hanging="360"/>
      </w:pPr>
      <w:rPr>
        <w:rFonts w:ascii="Arial" w:hAnsi="Arial" w:hint="default"/>
      </w:rPr>
    </w:lvl>
    <w:lvl w:ilvl="8" w:tplc="43BA95D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3633BBF"/>
    <w:multiLevelType w:val="hybridMultilevel"/>
    <w:tmpl w:val="F99EA7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5C89191"/>
    <w:multiLevelType w:val="hybridMultilevel"/>
    <w:tmpl w:val="DDCA2DD2"/>
    <w:lvl w:ilvl="0" w:tplc="3E5EE7D8">
      <w:start w:val="1"/>
      <w:numFmt w:val="decimal"/>
      <w:lvlText w:val="%1."/>
      <w:lvlJc w:val="left"/>
      <w:pPr>
        <w:ind w:left="720" w:hanging="360"/>
      </w:pPr>
    </w:lvl>
    <w:lvl w:ilvl="1" w:tplc="E3247980">
      <w:start w:val="1"/>
      <w:numFmt w:val="lowerLetter"/>
      <w:lvlText w:val="%2."/>
      <w:lvlJc w:val="left"/>
      <w:pPr>
        <w:ind w:left="1440" w:hanging="360"/>
      </w:pPr>
    </w:lvl>
    <w:lvl w:ilvl="2" w:tplc="B7D87F30">
      <w:start w:val="1"/>
      <w:numFmt w:val="lowerRoman"/>
      <w:lvlText w:val="%3."/>
      <w:lvlJc w:val="right"/>
      <w:pPr>
        <w:ind w:left="2160" w:hanging="180"/>
      </w:pPr>
    </w:lvl>
    <w:lvl w:ilvl="3" w:tplc="E452D43C">
      <w:start w:val="1"/>
      <w:numFmt w:val="decimal"/>
      <w:lvlText w:val="%4."/>
      <w:lvlJc w:val="left"/>
      <w:pPr>
        <w:ind w:left="2880" w:hanging="360"/>
      </w:pPr>
    </w:lvl>
    <w:lvl w:ilvl="4" w:tplc="8B525BC4">
      <w:start w:val="1"/>
      <w:numFmt w:val="lowerLetter"/>
      <w:lvlText w:val="%5."/>
      <w:lvlJc w:val="left"/>
      <w:pPr>
        <w:ind w:left="3600" w:hanging="360"/>
      </w:pPr>
    </w:lvl>
    <w:lvl w:ilvl="5" w:tplc="0B88AC3E">
      <w:start w:val="1"/>
      <w:numFmt w:val="lowerRoman"/>
      <w:lvlText w:val="%6."/>
      <w:lvlJc w:val="right"/>
      <w:pPr>
        <w:ind w:left="4320" w:hanging="180"/>
      </w:pPr>
    </w:lvl>
    <w:lvl w:ilvl="6" w:tplc="602E49C6">
      <w:start w:val="1"/>
      <w:numFmt w:val="decimal"/>
      <w:lvlText w:val="%7."/>
      <w:lvlJc w:val="left"/>
      <w:pPr>
        <w:ind w:left="5040" w:hanging="360"/>
      </w:pPr>
    </w:lvl>
    <w:lvl w:ilvl="7" w:tplc="B212FF32">
      <w:start w:val="1"/>
      <w:numFmt w:val="lowerLetter"/>
      <w:lvlText w:val="%8."/>
      <w:lvlJc w:val="left"/>
      <w:pPr>
        <w:ind w:left="5760" w:hanging="360"/>
      </w:pPr>
    </w:lvl>
    <w:lvl w:ilvl="8" w:tplc="B6103886">
      <w:start w:val="1"/>
      <w:numFmt w:val="lowerRoman"/>
      <w:lvlText w:val="%9."/>
      <w:lvlJc w:val="right"/>
      <w:pPr>
        <w:ind w:left="6480" w:hanging="180"/>
      </w:pPr>
    </w:lvl>
  </w:abstractNum>
  <w:abstractNum w:abstractNumId="15" w15:restartNumberingAfterBreak="0">
    <w:nsid w:val="274117E2"/>
    <w:multiLevelType w:val="hybridMultilevel"/>
    <w:tmpl w:val="E13A1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030146"/>
    <w:multiLevelType w:val="hybridMultilevel"/>
    <w:tmpl w:val="F4367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C638DF"/>
    <w:multiLevelType w:val="hybridMultilevel"/>
    <w:tmpl w:val="DECCDC3A"/>
    <w:lvl w:ilvl="0" w:tplc="2366506A">
      <w:start w:val="1"/>
      <w:numFmt w:val="bullet"/>
      <w:lvlText w:val="•"/>
      <w:lvlJc w:val="left"/>
      <w:pPr>
        <w:tabs>
          <w:tab w:val="num" w:pos="720"/>
        </w:tabs>
        <w:ind w:left="720" w:hanging="360"/>
      </w:pPr>
      <w:rPr>
        <w:rFonts w:ascii="Arial" w:hAnsi="Arial" w:hint="default"/>
      </w:rPr>
    </w:lvl>
    <w:lvl w:ilvl="1" w:tplc="8A88204A" w:tentative="1">
      <w:start w:val="1"/>
      <w:numFmt w:val="bullet"/>
      <w:lvlText w:val="•"/>
      <w:lvlJc w:val="left"/>
      <w:pPr>
        <w:tabs>
          <w:tab w:val="num" w:pos="1440"/>
        </w:tabs>
        <w:ind w:left="1440" w:hanging="360"/>
      </w:pPr>
      <w:rPr>
        <w:rFonts w:ascii="Arial" w:hAnsi="Arial" w:hint="default"/>
      </w:rPr>
    </w:lvl>
    <w:lvl w:ilvl="2" w:tplc="04080EE0" w:tentative="1">
      <w:start w:val="1"/>
      <w:numFmt w:val="bullet"/>
      <w:lvlText w:val="•"/>
      <w:lvlJc w:val="left"/>
      <w:pPr>
        <w:tabs>
          <w:tab w:val="num" w:pos="2160"/>
        </w:tabs>
        <w:ind w:left="2160" w:hanging="360"/>
      </w:pPr>
      <w:rPr>
        <w:rFonts w:ascii="Arial" w:hAnsi="Arial" w:hint="default"/>
      </w:rPr>
    </w:lvl>
    <w:lvl w:ilvl="3" w:tplc="EB444DF0" w:tentative="1">
      <w:start w:val="1"/>
      <w:numFmt w:val="bullet"/>
      <w:lvlText w:val="•"/>
      <w:lvlJc w:val="left"/>
      <w:pPr>
        <w:tabs>
          <w:tab w:val="num" w:pos="2880"/>
        </w:tabs>
        <w:ind w:left="2880" w:hanging="360"/>
      </w:pPr>
      <w:rPr>
        <w:rFonts w:ascii="Arial" w:hAnsi="Arial" w:hint="default"/>
      </w:rPr>
    </w:lvl>
    <w:lvl w:ilvl="4" w:tplc="43B61FD4" w:tentative="1">
      <w:start w:val="1"/>
      <w:numFmt w:val="bullet"/>
      <w:lvlText w:val="•"/>
      <w:lvlJc w:val="left"/>
      <w:pPr>
        <w:tabs>
          <w:tab w:val="num" w:pos="3600"/>
        </w:tabs>
        <w:ind w:left="3600" w:hanging="360"/>
      </w:pPr>
      <w:rPr>
        <w:rFonts w:ascii="Arial" w:hAnsi="Arial" w:hint="default"/>
      </w:rPr>
    </w:lvl>
    <w:lvl w:ilvl="5" w:tplc="8DFC5F3A" w:tentative="1">
      <w:start w:val="1"/>
      <w:numFmt w:val="bullet"/>
      <w:lvlText w:val="•"/>
      <w:lvlJc w:val="left"/>
      <w:pPr>
        <w:tabs>
          <w:tab w:val="num" w:pos="4320"/>
        </w:tabs>
        <w:ind w:left="4320" w:hanging="360"/>
      </w:pPr>
      <w:rPr>
        <w:rFonts w:ascii="Arial" w:hAnsi="Arial" w:hint="default"/>
      </w:rPr>
    </w:lvl>
    <w:lvl w:ilvl="6" w:tplc="A476E428" w:tentative="1">
      <w:start w:val="1"/>
      <w:numFmt w:val="bullet"/>
      <w:lvlText w:val="•"/>
      <w:lvlJc w:val="left"/>
      <w:pPr>
        <w:tabs>
          <w:tab w:val="num" w:pos="5040"/>
        </w:tabs>
        <w:ind w:left="5040" w:hanging="360"/>
      </w:pPr>
      <w:rPr>
        <w:rFonts w:ascii="Arial" w:hAnsi="Arial" w:hint="default"/>
      </w:rPr>
    </w:lvl>
    <w:lvl w:ilvl="7" w:tplc="6C660E9C" w:tentative="1">
      <w:start w:val="1"/>
      <w:numFmt w:val="bullet"/>
      <w:lvlText w:val="•"/>
      <w:lvlJc w:val="left"/>
      <w:pPr>
        <w:tabs>
          <w:tab w:val="num" w:pos="5760"/>
        </w:tabs>
        <w:ind w:left="5760" w:hanging="360"/>
      </w:pPr>
      <w:rPr>
        <w:rFonts w:ascii="Arial" w:hAnsi="Arial" w:hint="default"/>
      </w:rPr>
    </w:lvl>
    <w:lvl w:ilvl="8" w:tplc="C1EAB51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D223900"/>
    <w:multiLevelType w:val="hybridMultilevel"/>
    <w:tmpl w:val="00620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7445ED"/>
    <w:multiLevelType w:val="hybridMultilevel"/>
    <w:tmpl w:val="24F40312"/>
    <w:lvl w:ilvl="0" w:tplc="2076AE2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F6E5457"/>
    <w:multiLevelType w:val="hybridMultilevel"/>
    <w:tmpl w:val="C358B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F977034"/>
    <w:multiLevelType w:val="hybridMultilevel"/>
    <w:tmpl w:val="80EEB176"/>
    <w:lvl w:ilvl="0" w:tplc="07CECC6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37A1B29"/>
    <w:multiLevelType w:val="hybridMultilevel"/>
    <w:tmpl w:val="4C84B764"/>
    <w:lvl w:ilvl="0" w:tplc="141001CC">
      <w:start w:val="1"/>
      <w:numFmt w:val="bullet"/>
      <w:lvlText w:val="•"/>
      <w:lvlJc w:val="left"/>
      <w:pPr>
        <w:tabs>
          <w:tab w:val="num" w:pos="720"/>
        </w:tabs>
        <w:ind w:left="720" w:hanging="360"/>
      </w:pPr>
      <w:rPr>
        <w:rFonts w:ascii="Arial" w:hAnsi="Arial" w:hint="default"/>
      </w:rPr>
    </w:lvl>
    <w:lvl w:ilvl="1" w:tplc="3E28DA14" w:tentative="1">
      <w:start w:val="1"/>
      <w:numFmt w:val="bullet"/>
      <w:lvlText w:val="•"/>
      <w:lvlJc w:val="left"/>
      <w:pPr>
        <w:tabs>
          <w:tab w:val="num" w:pos="1440"/>
        </w:tabs>
        <w:ind w:left="1440" w:hanging="360"/>
      </w:pPr>
      <w:rPr>
        <w:rFonts w:ascii="Arial" w:hAnsi="Arial" w:hint="default"/>
      </w:rPr>
    </w:lvl>
    <w:lvl w:ilvl="2" w:tplc="D4DCBD24" w:tentative="1">
      <w:start w:val="1"/>
      <w:numFmt w:val="bullet"/>
      <w:lvlText w:val="•"/>
      <w:lvlJc w:val="left"/>
      <w:pPr>
        <w:tabs>
          <w:tab w:val="num" w:pos="2160"/>
        </w:tabs>
        <w:ind w:left="2160" w:hanging="360"/>
      </w:pPr>
      <w:rPr>
        <w:rFonts w:ascii="Arial" w:hAnsi="Arial" w:hint="default"/>
      </w:rPr>
    </w:lvl>
    <w:lvl w:ilvl="3" w:tplc="AB7A0FC4" w:tentative="1">
      <w:start w:val="1"/>
      <w:numFmt w:val="bullet"/>
      <w:lvlText w:val="•"/>
      <w:lvlJc w:val="left"/>
      <w:pPr>
        <w:tabs>
          <w:tab w:val="num" w:pos="2880"/>
        </w:tabs>
        <w:ind w:left="2880" w:hanging="360"/>
      </w:pPr>
      <w:rPr>
        <w:rFonts w:ascii="Arial" w:hAnsi="Arial" w:hint="default"/>
      </w:rPr>
    </w:lvl>
    <w:lvl w:ilvl="4" w:tplc="32ECF658" w:tentative="1">
      <w:start w:val="1"/>
      <w:numFmt w:val="bullet"/>
      <w:lvlText w:val="•"/>
      <w:lvlJc w:val="left"/>
      <w:pPr>
        <w:tabs>
          <w:tab w:val="num" w:pos="3600"/>
        </w:tabs>
        <w:ind w:left="3600" w:hanging="360"/>
      </w:pPr>
      <w:rPr>
        <w:rFonts w:ascii="Arial" w:hAnsi="Arial" w:hint="default"/>
      </w:rPr>
    </w:lvl>
    <w:lvl w:ilvl="5" w:tplc="30686634" w:tentative="1">
      <w:start w:val="1"/>
      <w:numFmt w:val="bullet"/>
      <w:lvlText w:val="•"/>
      <w:lvlJc w:val="left"/>
      <w:pPr>
        <w:tabs>
          <w:tab w:val="num" w:pos="4320"/>
        </w:tabs>
        <w:ind w:left="4320" w:hanging="360"/>
      </w:pPr>
      <w:rPr>
        <w:rFonts w:ascii="Arial" w:hAnsi="Arial" w:hint="default"/>
      </w:rPr>
    </w:lvl>
    <w:lvl w:ilvl="6" w:tplc="2E6643B6" w:tentative="1">
      <w:start w:val="1"/>
      <w:numFmt w:val="bullet"/>
      <w:lvlText w:val="•"/>
      <w:lvlJc w:val="left"/>
      <w:pPr>
        <w:tabs>
          <w:tab w:val="num" w:pos="5040"/>
        </w:tabs>
        <w:ind w:left="5040" w:hanging="360"/>
      </w:pPr>
      <w:rPr>
        <w:rFonts w:ascii="Arial" w:hAnsi="Arial" w:hint="default"/>
      </w:rPr>
    </w:lvl>
    <w:lvl w:ilvl="7" w:tplc="F29CD742" w:tentative="1">
      <w:start w:val="1"/>
      <w:numFmt w:val="bullet"/>
      <w:lvlText w:val="•"/>
      <w:lvlJc w:val="left"/>
      <w:pPr>
        <w:tabs>
          <w:tab w:val="num" w:pos="5760"/>
        </w:tabs>
        <w:ind w:left="5760" w:hanging="360"/>
      </w:pPr>
      <w:rPr>
        <w:rFonts w:ascii="Arial" w:hAnsi="Arial" w:hint="default"/>
      </w:rPr>
    </w:lvl>
    <w:lvl w:ilvl="8" w:tplc="8144743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73F2334"/>
    <w:multiLevelType w:val="hybridMultilevel"/>
    <w:tmpl w:val="C04CA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DA113B2"/>
    <w:multiLevelType w:val="hybridMultilevel"/>
    <w:tmpl w:val="60B2E6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07210FC"/>
    <w:multiLevelType w:val="hybridMultilevel"/>
    <w:tmpl w:val="AC2467CC"/>
    <w:lvl w:ilvl="0" w:tplc="75B08606">
      <w:start w:val="1"/>
      <w:numFmt w:val="bullet"/>
      <w:lvlText w:val="•"/>
      <w:lvlJc w:val="left"/>
      <w:pPr>
        <w:tabs>
          <w:tab w:val="num" w:pos="720"/>
        </w:tabs>
        <w:ind w:left="720" w:hanging="360"/>
      </w:pPr>
      <w:rPr>
        <w:rFonts w:ascii="Arial" w:hAnsi="Arial" w:hint="default"/>
      </w:rPr>
    </w:lvl>
    <w:lvl w:ilvl="1" w:tplc="F9FE3BE0" w:tentative="1">
      <w:start w:val="1"/>
      <w:numFmt w:val="bullet"/>
      <w:lvlText w:val="•"/>
      <w:lvlJc w:val="left"/>
      <w:pPr>
        <w:tabs>
          <w:tab w:val="num" w:pos="1440"/>
        </w:tabs>
        <w:ind w:left="1440" w:hanging="360"/>
      </w:pPr>
      <w:rPr>
        <w:rFonts w:ascii="Arial" w:hAnsi="Arial" w:hint="default"/>
      </w:rPr>
    </w:lvl>
    <w:lvl w:ilvl="2" w:tplc="7548ECF6" w:tentative="1">
      <w:start w:val="1"/>
      <w:numFmt w:val="bullet"/>
      <w:lvlText w:val="•"/>
      <w:lvlJc w:val="left"/>
      <w:pPr>
        <w:tabs>
          <w:tab w:val="num" w:pos="2160"/>
        </w:tabs>
        <w:ind w:left="2160" w:hanging="360"/>
      </w:pPr>
      <w:rPr>
        <w:rFonts w:ascii="Arial" w:hAnsi="Arial" w:hint="default"/>
      </w:rPr>
    </w:lvl>
    <w:lvl w:ilvl="3" w:tplc="3BEAEDDE" w:tentative="1">
      <w:start w:val="1"/>
      <w:numFmt w:val="bullet"/>
      <w:lvlText w:val="•"/>
      <w:lvlJc w:val="left"/>
      <w:pPr>
        <w:tabs>
          <w:tab w:val="num" w:pos="2880"/>
        </w:tabs>
        <w:ind w:left="2880" w:hanging="360"/>
      </w:pPr>
      <w:rPr>
        <w:rFonts w:ascii="Arial" w:hAnsi="Arial" w:hint="default"/>
      </w:rPr>
    </w:lvl>
    <w:lvl w:ilvl="4" w:tplc="E5AA3498" w:tentative="1">
      <w:start w:val="1"/>
      <w:numFmt w:val="bullet"/>
      <w:lvlText w:val="•"/>
      <w:lvlJc w:val="left"/>
      <w:pPr>
        <w:tabs>
          <w:tab w:val="num" w:pos="3600"/>
        </w:tabs>
        <w:ind w:left="3600" w:hanging="360"/>
      </w:pPr>
      <w:rPr>
        <w:rFonts w:ascii="Arial" w:hAnsi="Arial" w:hint="default"/>
      </w:rPr>
    </w:lvl>
    <w:lvl w:ilvl="5" w:tplc="315AD3CA" w:tentative="1">
      <w:start w:val="1"/>
      <w:numFmt w:val="bullet"/>
      <w:lvlText w:val="•"/>
      <w:lvlJc w:val="left"/>
      <w:pPr>
        <w:tabs>
          <w:tab w:val="num" w:pos="4320"/>
        </w:tabs>
        <w:ind w:left="4320" w:hanging="360"/>
      </w:pPr>
      <w:rPr>
        <w:rFonts w:ascii="Arial" w:hAnsi="Arial" w:hint="default"/>
      </w:rPr>
    </w:lvl>
    <w:lvl w:ilvl="6" w:tplc="9F52A314" w:tentative="1">
      <w:start w:val="1"/>
      <w:numFmt w:val="bullet"/>
      <w:lvlText w:val="•"/>
      <w:lvlJc w:val="left"/>
      <w:pPr>
        <w:tabs>
          <w:tab w:val="num" w:pos="5040"/>
        </w:tabs>
        <w:ind w:left="5040" w:hanging="360"/>
      </w:pPr>
      <w:rPr>
        <w:rFonts w:ascii="Arial" w:hAnsi="Arial" w:hint="default"/>
      </w:rPr>
    </w:lvl>
    <w:lvl w:ilvl="7" w:tplc="E0F6B954" w:tentative="1">
      <w:start w:val="1"/>
      <w:numFmt w:val="bullet"/>
      <w:lvlText w:val="•"/>
      <w:lvlJc w:val="left"/>
      <w:pPr>
        <w:tabs>
          <w:tab w:val="num" w:pos="5760"/>
        </w:tabs>
        <w:ind w:left="5760" w:hanging="360"/>
      </w:pPr>
      <w:rPr>
        <w:rFonts w:ascii="Arial" w:hAnsi="Arial" w:hint="default"/>
      </w:rPr>
    </w:lvl>
    <w:lvl w:ilvl="8" w:tplc="3E02317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2D644DF"/>
    <w:multiLevelType w:val="hybridMultilevel"/>
    <w:tmpl w:val="E0ACB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41C161D"/>
    <w:multiLevelType w:val="hybridMultilevel"/>
    <w:tmpl w:val="28C8F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0A480B"/>
    <w:multiLevelType w:val="hybridMultilevel"/>
    <w:tmpl w:val="2D78C0E0"/>
    <w:lvl w:ilvl="0" w:tplc="1E82A676">
      <w:numFmt w:val="bullet"/>
      <w:lvlText w:val="•"/>
      <w:lvlJc w:val="left"/>
      <w:pPr>
        <w:ind w:left="720" w:hanging="72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7C7532F"/>
    <w:multiLevelType w:val="hybridMultilevel"/>
    <w:tmpl w:val="FCDC46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A1C364F"/>
    <w:multiLevelType w:val="hybridMultilevel"/>
    <w:tmpl w:val="7E1EC4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B2269DA"/>
    <w:multiLevelType w:val="hybridMultilevel"/>
    <w:tmpl w:val="2884C4A6"/>
    <w:lvl w:ilvl="0" w:tplc="1E82A676">
      <w:numFmt w:val="bullet"/>
      <w:lvlText w:val="•"/>
      <w:lvlJc w:val="left"/>
      <w:pPr>
        <w:ind w:left="720" w:hanging="72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C94521D"/>
    <w:multiLevelType w:val="hybridMultilevel"/>
    <w:tmpl w:val="D9646ABA"/>
    <w:lvl w:ilvl="0" w:tplc="CAA0DA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A82545"/>
    <w:multiLevelType w:val="hybridMultilevel"/>
    <w:tmpl w:val="89E0E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2D95BB3"/>
    <w:multiLevelType w:val="hybridMultilevel"/>
    <w:tmpl w:val="551C9602"/>
    <w:lvl w:ilvl="0" w:tplc="6854C90C">
      <w:start w:val="1"/>
      <w:numFmt w:val="bullet"/>
      <w:lvlText w:val="•"/>
      <w:lvlJc w:val="left"/>
      <w:pPr>
        <w:tabs>
          <w:tab w:val="num" w:pos="720"/>
        </w:tabs>
        <w:ind w:left="720" w:hanging="360"/>
      </w:pPr>
      <w:rPr>
        <w:rFonts w:ascii="Arial" w:hAnsi="Arial" w:hint="default"/>
      </w:rPr>
    </w:lvl>
    <w:lvl w:ilvl="1" w:tplc="89AC2D4C" w:tentative="1">
      <w:start w:val="1"/>
      <w:numFmt w:val="bullet"/>
      <w:lvlText w:val="•"/>
      <w:lvlJc w:val="left"/>
      <w:pPr>
        <w:tabs>
          <w:tab w:val="num" w:pos="1440"/>
        </w:tabs>
        <w:ind w:left="1440" w:hanging="360"/>
      </w:pPr>
      <w:rPr>
        <w:rFonts w:ascii="Arial" w:hAnsi="Arial" w:hint="default"/>
      </w:rPr>
    </w:lvl>
    <w:lvl w:ilvl="2" w:tplc="4168C2A4" w:tentative="1">
      <w:start w:val="1"/>
      <w:numFmt w:val="bullet"/>
      <w:lvlText w:val="•"/>
      <w:lvlJc w:val="left"/>
      <w:pPr>
        <w:tabs>
          <w:tab w:val="num" w:pos="2160"/>
        </w:tabs>
        <w:ind w:left="2160" w:hanging="360"/>
      </w:pPr>
      <w:rPr>
        <w:rFonts w:ascii="Arial" w:hAnsi="Arial" w:hint="default"/>
      </w:rPr>
    </w:lvl>
    <w:lvl w:ilvl="3" w:tplc="AE86FD5E" w:tentative="1">
      <w:start w:val="1"/>
      <w:numFmt w:val="bullet"/>
      <w:lvlText w:val="•"/>
      <w:lvlJc w:val="left"/>
      <w:pPr>
        <w:tabs>
          <w:tab w:val="num" w:pos="2880"/>
        </w:tabs>
        <w:ind w:left="2880" w:hanging="360"/>
      </w:pPr>
      <w:rPr>
        <w:rFonts w:ascii="Arial" w:hAnsi="Arial" w:hint="default"/>
      </w:rPr>
    </w:lvl>
    <w:lvl w:ilvl="4" w:tplc="AFDAE9DC" w:tentative="1">
      <w:start w:val="1"/>
      <w:numFmt w:val="bullet"/>
      <w:lvlText w:val="•"/>
      <w:lvlJc w:val="left"/>
      <w:pPr>
        <w:tabs>
          <w:tab w:val="num" w:pos="3600"/>
        </w:tabs>
        <w:ind w:left="3600" w:hanging="360"/>
      </w:pPr>
      <w:rPr>
        <w:rFonts w:ascii="Arial" w:hAnsi="Arial" w:hint="default"/>
      </w:rPr>
    </w:lvl>
    <w:lvl w:ilvl="5" w:tplc="2D160600" w:tentative="1">
      <w:start w:val="1"/>
      <w:numFmt w:val="bullet"/>
      <w:lvlText w:val="•"/>
      <w:lvlJc w:val="left"/>
      <w:pPr>
        <w:tabs>
          <w:tab w:val="num" w:pos="4320"/>
        </w:tabs>
        <w:ind w:left="4320" w:hanging="360"/>
      </w:pPr>
      <w:rPr>
        <w:rFonts w:ascii="Arial" w:hAnsi="Arial" w:hint="default"/>
      </w:rPr>
    </w:lvl>
    <w:lvl w:ilvl="6" w:tplc="9D88D2B8" w:tentative="1">
      <w:start w:val="1"/>
      <w:numFmt w:val="bullet"/>
      <w:lvlText w:val="•"/>
      <w:lvlJc w:val="left"/>
      <w:pPr>
        <w:tabs>
          <w:tab w:val="num" w:pos="5040"/>
        </w:tabs>
        <w:ind w:left="5040" w:hanging="360"/>
      </w:pPr>
      <w:rPr>
        <w:rFonts w:ascii="Arial" w:hAnsi="Arial" w:hint="default"/>
      </w:rPr>
    </w:lvl>
    <w:lvl w:ilvl="7" w:tplc="9E50DA08" w:tentative="1">
      <w:start w:val="1"/>
      <w:numFmt w:val="bullet"/>
      <w:lvlText w:val="•"/>
      <w:lvlJc w:val="left"/>
      <w:pPr>
        <w:tabs>
          <w:tab w:val="num" w:pos="5760"/>
        </w:tabs>
        <w:ind w:left="5760" w:hanging="360"/>
      </w:pPr>
      <w:rPr>
        <w:rFonts w:ascii="Arial" w:hAnsi="Arial" w:hint="default"/>
      </w:rPr>
    </w:lvl>
    <w:lvl w:ilvl="8" w:tplc="1786F25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7DDD03E"/>
    <w:multiLevelType w:val="hybridMultilevel"/>
    <w:tmpl w:val="2F7050BA"/>
    <w:lvl w:ilvl="0" w:tplc="826ABEA4">
      <w:start w:val="1"/>
      <w:numFmt w:val="decimal"/>
      <w:lvlText w:val="%1."/>
      <w:lvlJc w:val="left"/>
      <w:pPr>
        <w:ind w:left="720" w:hanging="360"/>
      </w:pPr>
    </w:lvl>
    <w:lvl w:ilvl="1" w:tplc="1DB65554">
      <w:start w:val="1"/>
      <w:numFmt w:val="lowerLetter"/>
      <w:lvlText w:val="%2."/>
      <w:lvlJc w:val="left"/>
      <w:pPr>
        <w:ind w:left="1440" w:hanging="360"/>
      </w:pPr>
    </w:lvl>
    <w:lvl w:ilvl="2" w:tplc="CFB62184">
      <w:start w:val="1"/>
      <w:numFmt w:val="lowerRoman"/>
      <w:lvlText w:val="%3."/>
      <w:lvlJc w:val="right"/>
      <w:pPr>
        <w:ind w:left="2160" w:hanging="180"/>
      </w:pPr>
    </w:lvl>
    <w:lvl w:ilvl="3" w:tplc="1B84E5B0">
      <w:start w:val="1"/>
      <w:numFmt w:val="decimal"/>
      <w:lvlText w:val="%4."/>
      <w:lvlJc w:val="left"/>
      <w:pPr>
        <w:ind w:left="2880" w:hanging="360"/>
      </w:pPr>
    </w:lvl>
    <w:lvl w:ilvl="4" w:tplc="0DDC0A0A">
      <w:start w:val="1"/>
      <w:numFmt w:val="lowerLetter"/>
      <w:lvlText w:val="%5."/>
      <w:lvlJc w:val="left"/>
      <w:pPr>
        <w:ind w:left="3600" w:hanging="360"/>
      </w:pPr>
    </w:lvl>
    <w:lvl w:ilvl="5" w:tplc="9558EC02">
      <w:start w:val="1"/>
      <w:numFmt w:val="lowerRoman"/>
      <w:lvlText w:val="%6."/>
      <w:lvlJc w:val="right"/>
      <w:pPr>
        <w:ind w:left="4320" w:hanging="180"/>
      </w:pPr>
    </w:lvl>
    <w:lvl w:ilvl="6" w:tplc="C6764260">
      <w:start w:val="1"/>
      <w:numFmt w:val="decimal"/>
      <w:lvlText w:val="%7."/>
      <w:lvlJc w:val="left"/>
      <w:pPr>
        <w:ind w:left="5040" w:hanging="360"/>
      </w:pPr>
    </w:lvl>
    <w:lvl w:ilvl="7" w:tplc="B790BFE4">
      <w:start w:val="1"/>
      <w:numFmt w:val="lowerLetter"/>
      <w:lvlText w:val="%8."/>
      <w:lvlJc w:val="left"/>
      <w:pPr>
        <w:ind w:left="5760" w:hanging="360"/>
      </w:pPr>
    </w:lvl>
    <w:lvl w:ilvl="8" w:tplc="1BE452E0">
      <w:start w:val="1"/>
      <w:numFmt w:val="lowerRoman"/>
      <w:lvlText w:val="%9."/>
      <w:lvlJc w:val="right"/>
      <w:pPr>
        <w:ind w:left="6480" w:hanging="180"/>
      </w:pPr>
    </w:lvl>
  </w:abstractNum>
  <w:abstractNum w:abstractNumId="36" w15:restartNumberingAfterBreak="0">
    <w:nsid w:val="6B5F7903"/>
    <w:multiLevelType w:val="hybridMultilevel"/>
    <w:tmpl w:val="9320CB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C751B0D"/>
    <w:multiLevelType w:val="hybridMultilevel"/>
    <w:tmpl w:val="48E85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574914"/>
    <w:multiLevelType w:val="hybridMultilevel"/>
    <w:tmpl w:val="7FBCE5E6"/>
    <w:lvl w:ilvl="0" w:tplc="1E82A676">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8A117E"/>
    <w:multiLevelType w:val="hybridMultilevel"/>
    <w:tmpl w:val="E458AB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AFE278D"/>
    <w:multiLevelType w:val="hybridMultilevel"/>
    <w:tmpl w:val="56542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D063448"/>
    <w:multiLevelType w:val="hybridMultilevel"/>
    <w:tmpl w:val="DCFC2836"/>
    <w:lvl w:ilvl="0" w:tplc="21AE7078">
      <w:start w:val="1"/>
      <w:numFmt w:val="bullet"/>
      <w:lvlText w:val="•"/>
      <w:lvlJc w:val="left"/>
      <w:pPr>
        <w:tabs>
          <w:tab w:val="num" w:pos="720"/>
        </w:tabs>
        <w:ind w:left="720" w:hanging="360"/>
      </w:pPr>
      <w:rPr>
        <w:rFonts w:ascii="Arial" w:hAnsi="Arial" w:hint="default"/>
      </w:rPr>
    </w:lvl>
    <w:lvl w:ilvl="1" w:tplc="1FFEA56C" w:tentative="1">
      <w:start w:val="1"/>
      <w:numFmt w:val="bullet"/>
      <w:lvlText w:val="•"/>
      <w:lvlJc w:val="left"/>
      <w:pPr>
        <w:tabs>
          <w:tab w:val="num" w:pos="1440"/>
        </w:tabs>
        <w:ind w:left="1440" w:hanging="360"/>
      </w:pPr>
      <w:rPr>
        <w:rFonts w:ascii="Arial" w:hAnsi="Arial" w:hint="default"/>
      </w:rPr>
    </w:lvl>
    <w:lvl w:ilvl="2" w:tplc="D48A7448" w:tentative="1">
      <w:start w:val="1"/>
      <w:numFmt w:val="bullet"/>
      <w:lvlText w:val="•"/>
      <w:lvlJc w:val="left"/>
      <w:pPr>
        <w:tabs>
          <w:tab w:val="num" w:pos="2160"/>
        </w:tabs>
        <w:ind w:left="2160" w:hanging="360"/>
      </w:pPr>
      <w:rPr>
        <w:rFonts w:ascii="Arial" w:hAnsi="Arial" w:hint="default"/>
      </w:rPr>
    </w:lvl>
    <w:lvl w:ilvl="3" w:tplc="82EC3A7C" w:tentative="1">
      <w:start w:val="1"/>
      <w:numFmt w:val="bullet"/>
      <w:lvlText w:val="•"/>
      <w:lvlJc w:val="left"/>
      <w:pPr>
        <w:tabs>
          <w:tab w:val="num" w:pos="2880"/>
        </w:tabs>
        <w:ind w:left="2880" w:hanging="360"/>
      </w:pPr>
      <w:rPr>
        <w:rFonts w:ascii="Arial" w:hAnsi="Arial" w:hint="default"/>
      </w:rPr>
    </w:lvl>
    <w:lvl w:ilvl="4" w:tplc="06146EE4" w:tentative="1">
      <w:start w:val="1"/>
      <w:numFmt w:val="bullet"/>
      <w:lvlText w:val="•"/>
      <w:lvlJc w:val="left"/>
      <w:pPr>
        <w:tabs>
          <w:tab w:val="num" w:pos="3600"/>
        </w:tabs>
        <w:ind w:left="3600" w:hanging="360"/>
      </w:pPr>
      <w:rPr>
        <w:rFonts w:ascii="Arial" w:hAnsi="Arial" w:hint="default"/>
      </w:rPr>
    </w:lvl>
    <w:lvl w:ilvl="5" w:tplc="993874C2" w:tentative="1">
      <w:start w:val="1"/>
      <w:numFmt w:val="bullet"/>
      <w:lvlText w:val="•"/>
      <w:lvlJc w:val="left"/>
      <w:pPr>
        <w:tabs>
          <w:tab w:val="num" w:pos="4320"/>
        </w:tabs>
        <w:ind w:left="4320" w:hanging="360"/>
      </w:pPr>
      <w:rPr>
        <w:rFonts w:ascii="Arial" w:hAnsi="Arial" w:hint="default"/>
      </w:rPr>
    </w:lvl>
    <w:lvl w:ilvl="6" w:tplc="ABBA8DCC" w:tentative="1">
      <w:start w:val="1"/>
      <w:numFmt w:val="bullet"/>
      <w:lvlText w:val="•"/>
      <w:lvlJc w:val="left"/>
      <w:pPr>
        <w:tabs>
          <w:tab w:val="num" w:pos="5040"/>
        </w:tabs>
        <w:ind w:left="5040" w:hanging="360"/>
      </w:pPr>
      <w:rPr>
        <w:rFonts w:ascii="Arial" w:hAnsi="Arial" w:hint="default"/>
      </w:rPr>
    </w:lvl>
    <w:lvl w:ilvl="7" w:tplc="4EE873B4" w:tentative="1">
      <w:start w:val="1"/>
      <w:numFmt w:val="bullet"/>
      <w:lvlText w:val="•"/>
      <w:lvlJc w:val="left"/>
      <w:pPr>
        <w:tabs>
          <w:tab w:val="num" w:pos="5760"/>
        </w:tabs>
        <w:ind w:left="5760" w:hanging="360"/>
      </w:pPr>
      <w:rPr>
        <w:rFonts w:ascii="Arial" w:hAnsi="Arial" w:hint="default"/>
      </w:rPr>
    </w:lvl>
    <w:lvl w:ilvl="8" w:tplc="503C8694" w:tentative="1">
      <w:start w:val="1"/>
      <w:numFmt w:val="bullet"/>
      <w:lvlText w:val="•"/>
      <w:lvlJc w:val="left"/>
      <w:pPr>
        <w:tabs>
          <w:tab w:val="num" w:pos="6480"/>
        </w:tabs>
        <w:ind w:left="6480" w:hanging="360"/>
      </w:pPr>
      <w:rPr>
        <w:rFonts w:ascii="Arial" w:hAnsi="Arial" w:hint="default"/>
      </w:rPr>
    </w:lvl>
  </w:abstractNum>
  <w:num w:numId="1" w16cid:durableId="665746735">
    <w:abstractNumId w:val="35"/>
  </w:num>
  <w:num w:numId="2" w16cid:durableId="630013357">
    <w:abstractNumId w:val="14"/>
  </w:num>
  <w:num w:numId="3" w16cid:durableId="1410735653">
    <w:abstractNumId w:val="9"/>
  </w:num>
  <w:num w:numId="4" w16cid:durableId="1168638424">
    <w:abstractNumId w:val="9"/>
  </w:num>
  <w:num w:numId="5" w16cid:durableId="555168550">
    <w:abstractNumId w:val="9"/>
  </w:num>
  <w:num w:numId="6" w16cid:durableId="303197407">
    <w:abstractNumId w:val="23"/>
  </w:num>
  <w:num w:numId="7" w16cid:durableId="1059087006">
    <w:abstractNumId w:val="33"/>
  </w:num>
  <w:num w:numId="8" w16cid:durableId="1678270184">
    <w:abstractNumId w:val="15"/>
  </w:num>
  <w:num w:numId="9" w16cid:durableId="1877162531">
    <w:abstractNumId w:val="7"/>
  </w:num>
  <w:num w:numId="10" w16cid:durableId="896353118">
    <w:abstractNumId w:val="18"/>
  </w:num>
  <w:num w:numId="11" w16cid:durableId="1166626423">
    <w:abstractNumId w:val="16"/>
  </w:num>
  <w:num w:numId="12" w16cid:durableId="1504396733">
    <w:abstractNumId w:val="20"/>
  </w:num>
  <w:num w:numId="13" w16cid:durableId="214202765">
    <w:abstractNumId w:val="11"/>
  </w:num>
  <w:num w:numId="14" w16cid:durableId="771625623">
    <w:abstractNumId w:val="37"/>
  </w:num>
  <w:num w:numId="15" w16cid:durableId="829448575">
    <w:abstractNumId w:val="32"/>
  </w:num>
  <w:num w:numId="16" w16cid:durableId="2006742163">
    <w:abstractNumId w:val="3"/>
  </w:num>
  <w:num w:numId="17" w16cid:durableId="1178234817">
    <w:abstractNumId w:val="19"/>
  </w:num>
  <w:num w:numId="18" w16cid:durableId="1608998941">
    <w:abstractNumId w:val="27"/>
  </w:num>
  <w:num w:numId="19" w16cid:durableId="341125744">
    <w:abstractNumId w:val="40"/>
  </w:num>
  <w:num w:numId="20" w16cid:durableId="55323716">
    <w:abstractNumId w:val="2"/>
  </w:num>
  <w:num w:numId="21" w16cid:durableId="508373514">
    <w:abstractNumId w:val="6"/>
  </w:num>
  <w:num w:numId="22" w16cid:durableId="1404376122">
    <w:abstractNumId w:val="41"/>
  </w:num>
  <w:num w:numId="23" w16cid:durableId="1657761388">
    <w:abstractNumId w:val="22"/>
  </w:num>
  <w:num w:numId="24" w16cid:durableId="290672226">
    <w:abstractNumId w:val="34"/>
  </w:num>
  <w:num w:numId="25" w16cid:durableId="597760029">
    <w:abstractNumId w:val="17"/>
  </w:num>
  <w:num w:numId="26" w16cid:durableId="292953390">
    <w:abstractNumId w:val="25"/>
  </w:num>
  <w:num w:numId="27" w16cid:durableId="2077896127">
    <w:abstractNumId w:val="12"/>
  </w:num>
  <w:num w:numId="28" w16cid:durableId="287863101">
    <w:abstractNumId w:val="8"/>
  </w:num>
  <w:num w:numId="29" w16cid:durableId="298146705">
    <w:abstractNumId w:val="39"/>
  </w:num>
  <w:num w:numId="30" w16cid:durableId="1197038599">
    <w:abstractNumId w:val="21"/>
  </w:num>
  <w:num w:numId="31" w16cid:durableId="1079667894">
    <w:abstractNumId w:val="10"/>
  </w:num>
  <w:num w:numId="32" w16cid:durableId="1019625425">
    <w:abstractNumId w:val="4"/>
  </w:num>
  <w:num w:numId="33" w16cid:durableId="661785106">
    <w:abstractNumId w:val="24"/>
  </w:num>
  <w:num w:numId="34" w16cid:durableId="902640024">
    <w:abstractNumId w:val="1"/>
  </w:num>
  <w:num w:numId="35" w16cid:durableId="2111847953">
    <w:abstractNumId w:val="0"/>
  </w:num>
  <w:num w:numId="36" w16cid:durableId="1558931648">
    <w:abstractNumId w:val="36"/>
  </w:num>
  <w:num w:numId="37" w16cid:durableId="688290730">
    <w:abstractNumId w:val="5"/>
  </w:num>
  <w:num w:numId="38" w16cid:durableId="112676306">
    <w:abstractNumId w:val="29"/>
  </w:num>
  <w:num w:numId="39" w16cid:durableId="653918740">
    <w:abstractNumId w:val="30"/>
  </w:num>
  <w:num w:numId="40" w16cid:durableId="2010016274">
    <w:abstractNumId w:val="38"/>
  </w:num>
  <w:num w:numId="41" w16cid:durableId="632902032">
    <w:abstractNumId w:val="31"/>
  </w:num>
  <w:num w:numId="42" w16cid:durableId="1379818767">
    <w:abstractNumId w:val="28"/>
  </w:num>
  <w:num w:numId="43" w16cid:durableId="300964821">
    <w:abstractNumId w:val="26"/>
  </w:num>
  <w:num w:numId="44" w16cid:durableId="93841006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1A0"/>
    <w:rsid w:val="000144FA"/>
    <w:rsid w:val="00017D47"/>
    <w:rsid w:val="00041876"/>
    <w:rsid w:val="000518CC"/>
    <w:rsid w:val="00055A88"/>
    <w:rsid w:val="00055C25"/>
    <w:rsid w:val="00067EAE"/>
    <w:rsid w:val="000813FD"/>
    <w:rsid w:val="00086DF8"/>
    <w:rsid w:val="0009023A"/>
    <w:rsid w:val="00094B7C"/>
    <w:rsid w:val="000A03A1"/>
    <w:rsid w:val="000B4382"/>
    <w:rsid w:val="000C0804"/>
    <w:rsid w:val="000C48F8"/>
    <w:rsid w:val="000D0262"/>
    <w:rsid w:val="000D13C4"/>
    <w:rsid w:val="000E1C9D"/>
    <w:rsid w:val="000F07E6"/>
    <w:rsid w:val="001131C4"/>
    <w:rsid w:val="001161DE"/>
    <w:rsid w:val="00117E98"/>
    <w:rsid w:val="00127287"/>
    <w:rsid w:val="00134AC1"/>
    <w:rsid w:val="00137C91"/>
    <w:rsid w:val="0014741D"/>
    <w:rsid w:val="00147B17"/>
    <w:rsid w:val="001565F9"/>
    <w:rsid w:val="00166E40"/>
    <w:rsid w:val="00167F39"/>
    <w:rsid w:val="0017218C"/>
    <w:rsid w:val="001802A7"/>
    <w:rsid w:val="00183551"/>
    <w:rsid w:val="00194476"/>
    <w:rsid w:val="00197B2A"/>
    <w:rsid w:val="001A1B98"/>
    <w:rsid w:val="001A33BC"/>
    <w:rsid w:val="001C7D2C"/>
    <w:rsid w:val="001D58A4"/>
    <w:rsid w:val="001F1B92"/>
    <w:rsid w:val="002306B7"/>
    <w:rsid w:val="002334D0"/>
    <w:rsid w:val="00235936"/>
    <w:rsid w:val="00237635"/>
    <w:rsid w:val="00247053"/>
    <w:rsid w:val="002471A6"/>
    <w:rsid w:val="00252723"/>
    <w:rsid w:val="00255756"/>
    <w:rsid w:val="002606A3"/>
    <w:rsid w:val="0027685D"/>
    <w:rsid w:val="0029358B"/>
    <w:rsid w:val="002B1A0D"/>
    <w:rsid w:val="002B4035"/>
    <w:rsid w:val="002B45FE"/>
    <w:rsid w:val="002D1C7F"/>
    <w:rsid w:val="002D51BF"/>
    <w:rsid w:val="002D5472"/>
    <w:rsid w:val="002F24E1"/>
    <w:rsid w:val="003125B2"/>
    <w:rsid w:val="00321ADA"/>
    <w:rsid w:val="00326F7C"/>
    <w:rsid w:val="00331329"/>
    <w:rsid w:val="00345112"/>
    <w:rsid w:val="00350A0E"/>
    <w:rsid w:val="00362CB2"/>
    <w:rsid w:val="00374762"/>
    <w:rsid w:val="003766DF"/>
    <w:rsid w:val="00382109"/>
    <w:rsid w:val="00382CD1"/>
    <w:rsid w:val="00386F6C"/>
    <w:rsid w:val="00391493"/>
    <w:rsid w:val="003922F4"/>
    <w:rsid w:val="00394A98"/>
    <w:rsid w:val="003A1B24"/>
    <w:rsid w:val="003A1BFD"/>
    <w:rsid w:val="003B0454"/>
    <w:rsid w:val="003B7153"/>
    <w:rsid w:val="003C6E94"/>
    <w:rsid w:val="003E63DE"/>
    <w:rsid w:val="003F145A"/>
    <w:rsid w:val="0043609D"/>
    <w:rsid w:val="00451944"/>
    <w:rsid w:val="004619F9"/>
    <w:rsid w:val="00473B79"/>
    <w:rsid w:val="00487424"/>
    <w:rsid w:val="004934CB"/>
    <w:rsid w:val="004A12A0"/>
    <w:rsid w:val="004A337E"/>
    <w:rsid w:val="004A4D30"/>
    <w:rsid w:val="004A6D47"/>
    <w:rsid w:val="004B64C1"/>
    <w:rsid w:val="004E24F5"/>
    <w:rsid w:val="004E2702"/>
    <w:rsid w:val="0050308A"/>
    <w:rsid w:val="00503340"/>
    <w:rsid w:val="00504451"/>
    <w:rsid w:val="0051791C"/>
    <w:rsid w:val="005201FC"/>
    <w:rsid w:val="00524766"/>
    <w:rsid w:val="00532422"/>
    <w:rsid w:val="00533EA7"/>
    <w:rsid w:val="0054741C"/>
    <w:rsid w:val="00573AA8"/>
    <w:rsid w:val="005828D4"/>
    <w:rsid w:val="005837C7"/>
    <w:rsid w:val="005869FD"/>
    <w:rsid w:val="00590523"/>
    <w:rsid w:val="00596221"/>
    <w:rsid w:val="005B2ED4"/>
    <w:rsid w:val="005C0E61"/>
    <w:rsid w:val="005C5A79"/>
    <w:rsid w:val="005D15D6"/>
    <w:rsid w:val="005D2A7C"/>
    <w:rsid w:val="005E6D6F"/>
    <w:rsid w:val="00607237"/>
    <w:rsid w:val="006163F8"/>
    <w:rsid w:val="00632B91"/>
    <w:rsid w:val="0063384E"/>
    <w:rsid w:val="00633EBB"/>
    <w:rsid w:val="00637FF7"/>
    <w:rsid w:val="00640D79"/>
    <w:rsid w:val="00645404"/>
    <w:rsid w:val="00646253"/>
    <w:rsid w:val="00656733"/>
    <w:rsid w:val="0067611E"/>
    <w:rsid w:val="00677AAD"/>
    <w:rsid w:val="006A58B1"/>
    <w:rsid w:val="006A5FE3"/>
    <w:rsid w:val="006B002A"/>
    <w:rsid w:val="006B63BB"/>
    <w:rsid w:val="006C3DBA"/>
    <w:rsid w:val="006C7C5A"/>
    <w:rsid w:val="006E05DF"/>
    <w:rsid w:val="006F10DB"/>
    <w:rsid w:val="006F357A"/>
    <w:rsid w:val="00702C8C"/>
    <w:rsid w:val="007041A0"/>
    <w:rsid w:val="00711252"/>
    <w:rsid w:val="00732086"/>
    <w:rsid w:val="007345DD"/>
    <w:rsid w:val="007350E3"/>
    <w:rsid w:val="007374BF"/>
    <w:rsid w:val="007378A6"/>
    <w:rsid w:val="00740036"/>
    <w:rsid w:val="00753963"/>
    <w:rsid w:val="00757DAF"/>
    <w:rsid w:val="00784BC2"/>
    <w:rsid w:val="007A1CF2"/>
    <w:rsid w:val="007B0177"/>
    <w:rsid w:val="007B29E6"/>
    <w:rsid w:val="007C5EE8"/>
    <w:rsid w:val="007D4505"/>
    <w:rsid w:val="007E0282"/>
    <w:rsid w:val="007E4A9A"/>
    <w:rsid w:val="007F65DB"/>
    <w:rsid w:val="0080325E"/>
    <w:rsid w:val="008138BE"/>
    <w:rsid w:val="008160D8"/>
    <w:rsid w:val="00816133"/>
    <w:rsid w:val="00826CDD"/>
    <w:rsid w:val="00837CBA"/>
    <w:rsid w:val="008417C4"/>
    <w:rsid w:val="00871657"/>
    <w:rsid w:val="008735D0"/>
    <w:rsid w:val="00880EA4"/>
    <w:rsid w:val="008921B5"/>
    <w:rsid w:val="008B6D3D"/>
    <w:rsid w:val="008C5CF2"/>
    <w:rsid w:val="008E024C"/>
    <w:rsid w:val="008F2F89"/>
    <w:rsid w:val="008F48EE"/>
    <w:rsid w:val="00914B6E"/>
    <w:rsid w:val="00921AFE"/>
    <w:rsid w:val="009257D3"/>
    <w:rsid w:val="00925B55"/>
    <w:rsid w:val="0092675A"/>
    <w:rsid w:val="00927965"/>
    <w:rsid w:val="00930DB7"/>
    <w:rsid w:val="00953722"/>
    <w:rsid w:val="00966431"/>
    <w:rsid w:val="00980A20"/>
    <w:rsid w:val="009926B9"/>
    <w:rsid w:val="009D2518"/>
    <w:rsid w:val="009D6BBB"/>
    <w:rsid w:val="009E35E2"/>
    <w:rsid w:val="009F0196"/>
    <w:rsid w:val="009F3D9A"/>
    <w:rsid w:val="009F7850"/>
    <w:rsid w:val="00A0219F"/>
    <w:rsid w:val="00A102D4"/>
    <w:rsid w:val="00A200B4"/>
    <w:rsid w:val="00A34E63"/>
    <w:rsid w:val="00A5486E"/>
    <w:rsid w:val="00A703E8"/>
    <w:rsid w:val="00A729E5"/>
    <w:rsid w:val="00A77586"/>
    <w:rsid w:val="00A775F6"/>
    <w:rsid w:val="00A826D5"/>
    <w:rsid w:val="00A87435"/>
    <w:rsid w:val="00A927AF"/>
    <w:rsid w:val="00A96F49"/>
    <w:rsid w:val="00AA4CAA"/>
    <w:rsid w:val="00AA7095"/>
    <w:rsid w:val="00AA7A13"/>
    <w:rsid w:val="00AB020D"/>
    <w:rsid w:val="00AB4131"/>
    <w:rsid w:val="00AC4225"/>
    <w:rsid w:val="00AC553C"/>
    <w:rsid w:val="00AD21DD"/>
    <w:rsid w:val="00AD3011"/>
    <w:rsid w:val="00AD6B2F"/>
    <w:rsid w:val="00AE71B7"/>
    <w:rsid w:val="00AF1EE1"/>
    <w:rsid w:val="00B22985"/>
    <w:rsid w:val="00B444A1"/>
    <w:rsid w:val="00B50AD7"/>
    <w:rsid w:val="00B51A21"/>
    <w:rsid w:val="00B6206A"/>
    <w:rsid w:val="00B64C21"/>
    <w:rsid w:val="00B65868"/>
    <w:rsid w:val="00B6612A"/>
    <w:rsid w:val="00B83103"/>
    <w:rsid w:val="00B86C6A"/>
    <w:rsid w:val="00B87D7F"/>
    <w:rsid w:val="00B93EF5"/>
    <w:rsid w:val="00BA47E6"/>
    <w:rsid w:val="00BB4242"/>
    <w:rsid w:val="00BC0FF8"/>
    <w:rsid w:val="00BC20DF"/>
    <w:rsid w:val="00BC79AE"/>
    <w:rsid w:val="00BD1B29"/>
    <w:rsid w:val="00BD6BC9"/>
    <w:rsid w:val="00BE3213"/>
    <w:rsid w:val="00BE47FA"/>
    <w:rsid w:val="00BF43F2"/>
    <w:rsid w:val="00BF6DEC"/>
    <w:rsid w:val="00C12864"/>
    <w:rsid w:val="00C14A57"/>
    <w:rsid w:val="00C15A77"/>
    <w:rsid w:val="00C2152B"/>
    <w:rsid w:val="00C245BF"/>
    <w:rsid w:val="00C25D37"/>
    <w:rsid w:val="00C37D10"/>
    <w:rsid w:val="00C40674"/>
    <w:rsid w:val="00C637A6"/>
    <w:rsid w:val="00C814FA"/>
    <w:rsid w:val="00C83884"/>
    <w:rsid w:val="00C8397C"/>
    <w:rsid w:val="00CA468E"/>
    <w:rsid w:val="00CA626C"/>
    <w:rsid w:val="00CA7EFF"/>
    <w:rsid w:val="00CB0E33"/>
    <w:rsid w:val="00CC123E"/>
    <w:rsid w:val="00CD18A4"/>
    <w:rsid w:val="00CD6C6C"/>
    <w:rsid w:val="00D011B8"/>
    <w:rsid w:val="00D073FA"/>
    <w:rsid w:val="00D21256"/>
    <w:rsid w:val="00D27904"/>
    <w:rsid w:val="00D329E1"/>
    <w:rsid w:val="00D356FA"/>
    <w:rsid w:val="00D368C0"/>
    <w:rsid w:val="00D52706"/>
    <w:rsid w:val="00D55575"/>
    <w:rsid w:val="00D63958"/>
    <w:rsid w:val="00D81DA5"/>
    <w:rsid w:val="00D9053C"/>
    <w:rsid w:val="00D96205"/>
    <w:rsid w:val="00DA1C21"/>
    <w:rsid w:val="00DB0617"/>
    <w:rsid w:val="00DB5D27"/>
    <w:rsid w:val="00DC2332"/>
    <w:rsid w:val="00DF0059"/>
    <w:rsid w:val="00DF5063"/>
    <w:rsid w:val="00E1259F"/>
    <w:rsid w:val="00E22FD1"/>
    <w:rsid w:val="00E2615B"/>
    <w:rsid w:val="00E35AF5"/>
    <w:rsid w:val="00E36A54"/>
    <w:rsid w:val="00E47FCE"/>
    <w:rsid w:val="00E50B79"/>
    <w:rsid w:val="00E63C26"/>
    <w:rsid w:val="00E67083"/>
    <w:rsid w:val="00E809BD"/>
    <w:rsid w:val="00E90221"/>
    <w:rsid w:val="00E94887"/>
    <w:rsid w:val="00E95F04"/>
    <w:rsid w:val="00EA1C1C"/>
    <w:rsid w:val="00EB28FB"/>
    <w:rsid w:val="00EC4010"/>
    <w:rsid w:val="00EE3056"/>
    <w:rsid w:val="00F017C9"/>
    <w:rsid w:val="00F02CB6"/>
    <w:rsid w:val="00F06CE5"/>
    <w:rsid w:val="00F129F2"/>
    <w:rsid w:val="00F21467"/>
    <w:rsid w:val="00F27A53"/>
    <w:rsid w:val="00F327F9"/>
    <w:rsid w:val="00F368F1"/>
    <w:rsid w:val="00F41A50"/>
    <w:rsid w:val="00F540A7"/>
    <w:rsid w:val="00F57F3C"/>
    <w:rsid w:val="00F624BF"/>
    <w:rsid w:val="00F635C4"/>
    <w:rsid w:val="00F75293"/>
    <w:rsid w:val="00F77B7B"/>
    <w:rsid w:val="00F9090B"/>
    <w:rsid w:val="00F92AE1"/>
    <w:rsid w:val="00FA3FAD"/>
    <w:rsid w:val="00FB240D"/>
    <w:rsid w:val="00FB2EF0"/>
    <w:rsid w:val="00FC1A24"/>
    <w:rsid w:val="00FD54AA"/>
    <w:rsid w:val="00FD7589"/>
    <w:rsid w:val="00FD7A5A"/>
    <w:rsid w:val="066DD4CA"/>
    <w:rsid w:val="06EA7E18"/>
    <w:rsid w:val="08967871"/>
    <w:rsid w:val="0E0A060F"/>
    <w:rsid w:val="0E7D7C24"/>
    <w:rsid w:val="0FFB2059"/>
    <w:rsid w:val="100FF847"/>
    <w:rsid w:val="1016DD52"/>
    <w:rsid w:val="10994DE4"/>
    <w:rsid w:val="10ECA84A"/>
    <w:rsid w:val="128878AB"/>
    <w:rsid w:val="128F2467"/>
    <w:rsid w:val="13D0EEA6"/>
    <w:rsid w:val="1424490C"/>
    <w:rsid w:val="150E56CF"/>
    <w:rsid w:val="15C0196D"/>
    <w:rsid w:val="175BE9CE"/>
    <w:rsid w:val="188B376C"/>
    <w:rsid w:val="19770CD9"/>
    <w:rsid w:val="197C1A26"/>
    <w:rsid w:val="1A40302A"/>
    <w:rsid w:val="1A938A90"/>
    <w:rsid w:val="1C2F5AF1"/>
    <w:rsid w:val="1C86FF48"/>
    <w:rsid w:val="1E935348"/>
    <w:rsid w:val="229E9C75"/>
    <w:rsid w:val="243625C6"/>
    <w:rsid w:val="2C3125FC"/>
    <w:rsid w:val="2F6BE4A6"/>
    <w:rsid w:val="3104971F"/>
    <w:rsid w:val="3211826F"/>
    <w:rsid w:val="328C057B"/>
    <w:rsid w:val="32A06780"/>
    <w:rsid w:val="33FAC2E0"/>
    <w:rsid w:val="36DBDCE4"/>
    <w:rsid w:val="375C71E1"/>
    <w:rsid w:val="3C4F374C"/>
    <w:rsid w:val="3CFF4FCC"/>
    <w:rsid w:val="412A6DBC"/>
    <w:rsid w:val="4272EB64"/>
    <w:rsid w:val="42BE78D0"/>
    <w:rsid w:val="442CBECF"/>
    <w:rsid w:val="45ED02E4"/>
    <w:rsid w:val="4633ACB4"/>
    <w:rsid w:val="49002FF2"/>
    <w:rsid w:val="4CB3A23B"/>
    <w:rsid w:val="4EF01ECC"/>
    <w:rsid w:val="4F6F7176"/>
    <w:rsid w:val="515E9C3D"/>
    <w:rsid w:val="531581A4"/>
    <w:rsid w:val="5442E299"/>
    <w:rsid w:val="549E4A4C"/>
    <w:rsid w:val="55296069"/>
    <w:rsid w:val="56320D60"/>
    <w:rsid w:val="56D7833A"/>
    <w:rsid w:val="573B5C24"/>
    <w:rsid w:val="5EF4590A"/>
    <w:rsid w:val="5FD47552"/>
    <w:rsid w:val="601341C4"/>
    <w:rsid w:val="61AF1225"/>
    <w:rsid w:val="61D0FBBC"/>
    <w:rsid w:val="67F00D6D"/>
    <w:rsid w:val="6A2AD77D"/>
    <w:rsid w:val="6AA6430A"/>
    <w:rsid w:val="6B0A6776"/>
    <w:rsid w:val="6CA21AC2"/>
    <w:rsid w:val="6DE80D34"/>
    <w:rsid w:val="6E56E985"/>
    <w:rsid w:val="6EE270C5"/>
    <w:rsid w:val="6FDDD899"/>
    <w:rsid w:val="6FE2A837"/>
    <w:rsid w:val="710CD96E"/>
    <w:rsid w:val="71264E94"/>
    <w:rsid w:val="7889530B"/>
    <w:rsid w:val="7E94DCC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6CC88"/>
  <w15:docId w15:val="{60B1A6E4-EEBD-447E-83EA-B853E650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A0E"/>
    <w:pPr>
      <w:spacing w:before="120" w:after="0" w:line="360" w:lineRule="auto"/>
    </w:pPr>
    <w:rPr>
      <w:rFonts w:eastAsiaTheme="minorEastAsia"/>
      <w:szCs w:val="24"/>
    </w:rPr>
  </w:style>
  <w:style w:type="paragraph" w:styleId="Heading1">
    <w:name w:val="heading 1"/>
    <w:basedOn w:val="Normal"/>
    <w:next w:val="Normal"/>
    <w:link w:val="Heading1Char"/>
    <w:autoRedefine/>
    <w:uiPriority w:val="9"/>
    <w:qFormat/>
    <w:rsid w:val="006A5FE3"/>
    <w:pPr>
      <w:spacing w:before="600" w:after="12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9F0196"/>
    <w:pPr>
      <w:keepNext/>
      <w:keepLines/>
      <w:spacing w:before="40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9F0196"/>
    <w:pPr>
      <w:keepNext/>
      <w:keepLines/>
      <w:spacing w:before="400"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FE3"/>
    <w:rPr>
      <w:rFonts w:eastAsiaTheme="majorEastAsia" w:cstheme="majorBidi"/>
      <w:b/>
      <w:sz w:val="36"/>
      <w:szCs w:val="32"/>
    </w:rPr>
  </w:style>
  <w:style w:type="paragraph" w:styleId="BodyText">
    <w:name w:val="Body Text"/>
    <w:basedOn w:val="Normal"/>
    <w:link w:val="BodyTextChar"/>
    <w:uiPriority w:val="1"/>
    <w:qFormat/>
    <w:rsid w:val="00394A98"/>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394A98"/>
    <w:rPr>
      <w:rFonts w:eastAsia="Calibri" w:cs="Calibri"/>
      <w:szCs w:val="24"/>
      <w:lang w:val="en-US"/>
    </w:rPr>
  </w:style>
  <w:style w:type="character" w:customStyle="1" w:styleId="Heading2Char">
    <w:name w:val="Heading 2 Char"/>
    <w:basedOn w:val="DefaultParagraphFont"/>
    <w:link w:val="Heading2"/>
    <w:uiPriority w:val="9"/>
    <w:rsid w:val="009F0196"/>
    <w:rPr>
      <w:rFonts w:eastAsiaTheme="majorEastAsia" w:cstheme="majorBidi"/>
      <w:b/>
      <w:sz w:val="32"/>
      <w:szCs w:val="26"/>
    </w:rPr>
  </w:style>
  <w:style w:type="character" w:customStyle="1" w:styleId="Heading3Char">
    <w:name w:val="Heading 3 Char"/>
    <w:basedOn w:val="DefaultParagraphFont"/>
    <w:link w:val="Heading3"/>
    <w:uiPriority w:val="9"/>
    <w:rsid w:val="009F0196"/>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28"/>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8F48EE"/>
    <w:pPr>
      <w:spacing w:before="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8F48EE"/>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character" w:styleId="UnresolvedMention">
    <w:name w:val="Unresolved Mention"/>
    <w:basedOn w:val="DefaultParagraphFont"/>
    <w:uiPriority w:val="99"/>
    <w:semiHidden/>
    <w:unhideWhenUsed/>
    <w:rsid w:val="003C6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58864646">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758408815">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296222721">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950307986">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2046464">
          <w:marLeft w:val="360"/>
          <w:marRight w:val="0"/>
          <w:marTop w:val="200"/>
          <w:marBottom w:val="0"/>
          <w:divBdr>
            <w:top w:val="none" w:sz="0" w:space="0" w:color="auto"/>
            <w:left w:val="none" w:sz="0" w:space="0" w:color="auto"/>
            <w:bottom w:val="none" w:sz="0" w:space="0" w:color="auto"/>
            <w:right w:val="none" w:sz="0" w:space="0" w:color="auto"/>
          </w:divBdr>
        </w:div>
        <w:div w:id="799613607">
          <w:marLeft w:val="360"/>
          <w:marRight w:val="0"/>
          <w:marTop w:val="2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rie.leigh@nds.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ds.org.au/index.php/royal-commission/royal-commission-news/nds-analyses-drc-recommendations-on-employ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d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4EB5F609D19B4EB8C8C679CD54ABE1" ma:contentTypeVersion="15" ma:contentTypeDescription="Create a new document." ma:contentTypeScope="" ma:versionID="817b5790a499c081d88422abbc3e61e7">
  <xsd:schema xmlns:xsd="http://www.w3.org/2001/XMLSchema" xmlns:xs="http://www.w3.org/2001/XMLSchema" xmlns:p="http://schemas.microsoft.com/office/2006/metadata/properties" xmlns:ns2="df555300-0698-43aa-a001-c9787d61ea33" xmlns:ns4="6fd51e97-f7d0-400a-a62d-238f40383037" targetNamespace="http://schemas.microsoft.com/office/2006/metadata/properties" ma:root="true" ma:fieldsID="a0babfa3930056e270191c3222b9c14c" ns2:_="" ns4:_="">
    <xsd:import namespace="df555300-0698-43aa-a001-c9787d61ea33"/>
    <xsd:import namespace="6fd51e97-f7d0-400a-a62d-238f403830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4:SharedWithUsers" minOccurs="0"/>
                <xsd:element ref="ns4: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55300-0698-43aa-a001-c9787d61e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d51e97-f7d0-400a-a62d-238f403830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8dc5967-360f-4d01-8646-cbee7f1c6821}" ma:internalName="TaxCatchAll" ma:showField="CatchAllData" ma:web="6fd51e97-f7d0-400a-a62d-238f4038303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f555300-0698-43aa-a001-c9787d61ea33">
      <Terms xmlns="http://schemas.microsoft.com/office/infopath/2007/PartnerControls"/>
    </lcf76f155ced4ddcb4097134ff3c332f>
    <TaxCatchAll xmlns="6fd51e97-f7d0-400a-a62d-238f4038303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A1143-2DAB-45FF-BBC3-8D01A49EBC4A}"/>
</file>

<file path=customXml/itemProps2.xml><?xml version="1.0" encoding="utf-8"?>
<ds:datastoreItem xmlns:ds="http://schemas.openxmlformats.org/officeDocument/2006/customXml" ds:itemID="{8A043AE3-8C2E-4008-A4EE-64651D7028DB}">
  <ds:schemaRefs>
    <ds:schemaRef ds:uri="http://schemas.microsoft.com/office/2006/metadata/properties"/>
    <ds:schemaRef ds:uri="http://schemas.microsoft.com/office/infopath/2007/PartnerControls"/>
    <ds:schemaRef ds:uri="808b14fd-9bb8-4250-927f-b5e6575772da"/>
    <ds:schemaRef ds:uri="ce44da1b-bbe8-4449-ab39-540c38baf36d"/>
  </ds:schemaRefs>
</ds:datastoreItem>
</file>

<file path=customXml/itemProps3.xml><?xml version="1.0" encoding="utf-8"?>
<ds:datastoreItem xmlns:ds="http://schemas.openxmlformats.org/officeDocument/2006/customXml" ds:itemID="{BF2DF477-5551-449C-A0EE-9D02301C3E12}">
  <ds:schemaRefs>
    <ds:schemaRef ds:uri="http://schemas.microsoft.com/sharepoint/v3/contenttype/forms"/>
  </ds:schemaRefs>
</ds:datastoreItem>
</file>

<file path=customXml/itemProps4.xml><?xml version="1.0" encoding="utf-8"?>
<ds:datastoreItem xmlns:ds="http://schemas.openxmlformats.org/officeDocument/2006/customXml" ds:itemID="{6FD8A168-DF21-4812-8DC1-FB0973B42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10</Pages>
  <Words>2431</Words>
  <Characters>13859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National Disability Services Submission</vt:lpstr>
    </vt:vector>
  </TitlesOfParts>
  <Company>Microsoft</Company>
  <LinksUpToDate>false</LinksUpToDate>
  <CharactersWithSpaces>16258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NDS Submission: Response to the Department of Social Services’ “Establishing a Disability Employment Centre of Excellence” Options Paper</dc:title>
  <dc:subject/>
  <dc:creator>Paul Musso</dc:creator>
  <cp:keywords/>
  <dc:description/>
  <cp:lastModifiedBy>Carolina Pachioli</cp:lastModifiedBy>
  <cp:revision>198</cp:revision>
  <cp:lastPrinted>2018-10-11T16:15:00Z</cp:lastPrinted>
  <dcterms:created xsi:type="dcterms:W3CDTF">2023-11-24T00:04:00Z</dcterms:created>
  <dcterms:modified xsi:type="dcterms:W3CDTF">2024-02-13T10:45:00Z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0x010100264EB5F609D19B4EB8C8C679CD54ABE1</vt:lpwstr>
  </property>
  <property fmtid="{D5CDD505-2E9C-101B-9397-08002B2CF9AE}" pid="3" name="MediaServiceImageTags">
    <vt:lpwstr/>
  </property>
</Properties>
</file>